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Toc530557023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四川省装配式建筑产业协会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职业道德标准</w:t>
      </w:r>
      <w:bookmarkEnd w:id="0"/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遵纪守法，秉公办事</w:t>
      </w:r>
      <w:bookmarkStart w:id="1" w:name="_GoBack"/>
      <w:bookmarkEnd w:id="1"/>
    </w:p>
    <w:p>
      <w:pPr>
        <w:ind w:firstLine="640" w:firstLineChars="200"/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认真贯彻执行国家有关工程质量监督管理的方针、政策和法规，依法监督，秉公办事，树立良好的信誉和职业形象。</w:t>
      </w:r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敬业爱岗，严格监督</w:t>
      </w:r>
    </w:p>
    <w:p>
      <w:pPr>
        <w:ind w:firstLine="640" w:firstLineChars="200"/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不断提高政治思想水平和业务素质，严格按照有关技术标准规范实行监督，严格按照标准核定装配式建筑施工质量。</w:t>
      </w:r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提高效率，热情服务</w:t>
      </w:r>
    </w:p>
    <w:p>
      <w:pPr>
        <w:ind w:firstLine="640" w:firstLineChars="200"/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严格履行工作程序，提高办事效率，监督工作及时到位，做到急事快办，热情为会员单位服务。</w:t>
      </w:r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公正严明，接受监督</w:t>
      </w:r>
    </w:p>
    <w:p>
      <w:pPr>
        <w:ind w:firstLine="640" w:firstLineChars="200"/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公开办事程序，接受社会监督、群众监督和上级部门监督，提高行业质量、协会工作透明度，保证监督、评奖结果的公正性、准确性。</w:t>
      </w:r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严格自律，不谋私利</w:t>
      </w:r>
    </w:p>
    <w:p>
      <w:pPr>
        <w:ind w:firstLine="640" w:firstLineChars="200"/>
        <w:jc w:val="both"/>
        <w:rPr>
          <w:rFonts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严格执行协会人员《工作守则》。不利用工作之便介绍工程承包任务和推销建筑材料，不对评奖工程进行有偿咨询活动，自觉抵制不正之风，不以权谋私，不徇私舞弊。</w:t>
      </w:r>
    </w:p>
    <w:p>
      <w:pPr>
        <w:numPr>
          <w:ilvl w:val="0"/>
          <w:numId w:val="1"/>
        </w:numPr>
        <w:jc w:val="both"/>
        <w:rPr>
          <w:rFonts w:ascii="楷体" w:hAnsi="楷体" w:eastAsia="楷体" w:cs="仿宋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Cs/>
          <w:color w:val="333333"/>
          <w:sz w:val="32"/>
          <w:szCs w:val="32"/>
          <w:shd w:val="clear" w:color="auto" w:fill="FFFFFF"/>
        </w:rPr>
        <w:t>精心组织，科学管理</w:t>
      </w:r>
    </w:p>
    <w:p>
      <w:pPr>
        <w:ind w:firstLine="640" w:firstLineChars="200"/>
        <w:jc w:val="both"/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加强协会举办的活动的组织和管理，不断完善协会内部管理体制，抓好协会内部的管理工作，使之制度化、标准化、科学化，向管理挖潜力，向管理要效益。</w:t>
      </w:r>
    </w:p>
    <w:p>
      <w:pPr>
        <w:ind w:firstLine="640" w:firstLineChars="200"/>
        <w:jc w:val="both"/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 xml:space="preserve"> 本规则由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eastAsia="zh-CN"/>
        </w:rPr>
        <w:t>四川省装配式建筑产业协会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负责解释。</w:t>
      </w:r>
    </w:p>
    <w:p>
      <w:pPr>
        <w:ind w:firstLine="640" w:firstLineChars="200"/>
        <w:jc w:val="both"/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 xml:space="preserve"> 本规则自公布之日起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  <w:lang w:val="en-US" w:eastAsia="zh-CN"/>
        </w:rPr>
        <w:t>生效</w:t>
      </w:r>
      <w:r>
        <w:rPr>
          <w:rFonts w:hint="eastAsia" w:ascii="楷体" w:hAnsi="楷体" w:eastAsia="楷体" w:cs="仿宋"/>
          <w:color w:val="333333"/>
          <w:sz w:val="32"/>
          <w:szCs w:val="32"/>
          <w:shd w:val="clear" w:color="auto" w:fill="FFFFFF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732A0"/>
    <w:multiLevelType w:val="singleLevel"/>
    <w:tmpl w:val="6E7732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0C3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100" w:beforeLines="0" w:beforeAutospacing="0" w:after="50" w:afterLines="0" w:afterAutospacing="0" w:line="372" w:lineRule="auto"/>
      <w:ind w:firstLine="0" w:firstLineChars="0"/>
      <w:outlineLvl w:val="3"/>
    </w:pPr>
    <w:rPr>
      <w:rFonts w:ascii="黑体" w:hAnsi="黑体" w:eastAsia="黑体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  <w:jc w:val="left"/>
    </w:pPr>
    <w:rPr>
      <w:rFonts w:ascii="宋体" w:hAnsi="宋体" w:eastAsia="宋体" w:cs="Times New Roman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2023-05-09T05:35:14Z</dcterms:created>
  <dc:creator>张涛</dc:creator>
  <cp:lastModifiedBy>张涛</cp:lastModifiedBy>
  <dcterms:modified xsi:type="dcterms:W3CDTF">2023-05-09T05:35:27Z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FA113C8755184139872446697FA1CE41_12</vt:lpwstr>
  </property>
</Properties>
</file>