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tabs>
          <w:tab w:val="right" w:leader="dot" w:pos="8495"/>
        </w:tabs>
        <w:ind w:left="0" w:leftChars="0"/>
        <w:jc w:val="center"/>
        <w:rPr>
          <w:rFonts w:ascii="方正小标宋简体" w:hAnsi="黑体" w:eastAsia="方正小标宋简体"/>
          <w:sz w:val="36"/>
          <w:szCs w:val="36"/>
        </w:rPr>
      </w:pPr>
      <w:r>
        <w:rPr>
          <w:rFonts w:hint="eastAsia" w:ascii="方正小标宋简体" w:hAnsi="黑体" w:eastAsia="方正小标宋简体"/>
          <w:sz w:val="36"/>
          <w:szCs w:val="36"/>
        </w:rPr>
        <w:t>四川省装配式建筑产业协会</w:t>
      </w:r>
    </w:p>
    <w:p>
      <w:pPr>
        <w:pStyle w:val="11"/>
        <w:tabs>
          <w:tab w:val="right" w:leader="dot" w:pos="8495"/>
        </w:tabs>
        <w:ind w:left="0" w:leftChars="0"/>
        <w:jc w:val="center"/>
        <w:rPr>
          <w:rFonts w:ascii="仿宋" w:hAnsi="仿宋" w:eastAsia="仿宋" w:cs="仿宋"/>
          <w:sz w:val="32"/>
          <w:szCs w:val="32"/>
        </w:rPr>
      </w:pPr>
      <w:r>
        <w:rPr>
          <w:rFonts w:hint="eastAsia" w:ascii="方正小标宋简体" w:hAnsi="黑体" w:eastAsia="方正小标宋简体"/>
          <w:sz w:val="36"/>
          <w:szCs w:val="36"/>
        </w:rPr>
        <w:t>2020年工作报告</w:t>
      </w:r>
    </w:p>
    <w:p>
      <w:pPr>
        <w:spacing w:line="600" w:lineRule="exact"/>
        <w:rPr>
          <w:rFonts w:ascii="仿宋" w:hAnsi="仿宋" w:eastAsia="仿宋" w:cs="仿宋"/>
          <w:b/>
          <w:bCs/>
          <w:sz w:val="32"/>
          <w:szCs w:val="32"/>
        </w:rPr>
      </w:pPr>
      <w:r>
        <w:rPr>
          <w:rFonts w:hint="eastAsia" w:ascii="仿宋" w:hAnsi="仿宋" w:eastAsia="仿宋"/>
          <w:sz w:val="32"/>
          <w:szCs w:val="32"/>
        </w:rPr>
        <w:t>各会员单位：</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今年以来的新冠肺炎疫情对我国及全球经济社会发展带来了前所未有的巨大冲击，在党中央、国务院的英明领导下，我国的新冠肺炎疫情得到了有效控制，但全球疫情还在持续蔓延，我国仍面临着疫情反弹和境外输入的风险。为坚决贯彻党中央、国务院及四川省关于应对新冠疫情防控和各项工作部署，做好疫情防控工作，</w:t>
      </w:r>
      <w:bookmarkStart w:id="0" w:name="_Hlk2602499"/>
      <w:r>
        <w:rPr>
          <w:rFonts w:hint="eastAsia" w:ascii="仿宋" w:hAnsi="仿宋" w:eastAsia="仿宋"/>
          <w:sz w:val="32"/>
          <w:szCs w:val="32"/>
        </w:rPr>
        <w:t>在省住建厅和省经信厅的指示下，四川省装配式建筑产业协会</w:t>
      </w:r>
      <w:bookmarkEnd w:id="0"/>
      <w:r>
        <w:rPr>
          <w:rFonts w:hint="eastAsia" w:ascii="仿宋" w:hAnsi="仿宋" w:eastAsia="仿宋"/>
          <w:sz w:val="32"/>
          <w:szCs w:val="32"/>
        </w:rPr>
        <w:t>第五届第十次会员大会暨第五届第九次理事会以视频会议的方式召开。</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现在，我代表四川省装配式建筑产业协会，向大会作2020年工作报告，请予审议。</w:t>
      </w:r>
    </w:p>
    <w:p>
      <w:pPr>
        <w:pStyle w:val="2"/>
        <w:spacing w:before="156" w:after="156"/>
        <w:ind w:firstLine="640"/>
        <w:jc w:val="both"/>
        <w:rPr>
          <w:rFonts w:ascii="黑体" w:hAnsi="黑体" w:eastAsia="黑体" w:cs="黑体"/>
        </w:rPr>
      </w:pPr>
      <w:bookmarkStart w:id="1" w:name="_Toc44932848"/>
      <w:bookmarkStart w:id="2" w:name="_Toc44932731"/>
      <w:bookmarkStart w:id="3" w:name="_Toc7787"/>
      <w:bookmarkStart w:id="4" w:name="_Toc46500205"/>
      <w:bookmarkStart w:id="5" w:name="_Toc22222"/>
      <w:bookmarkStart w:id="6" w:name="_Toc48736998"/>
      <w:r>
        <w:rPr>
          <w:rFonts w:hint="eastAsia" w:ascii="黑体" w:hAnsi="黑体" w:eastAsia="黑体" w:cs="黑体"/>
        </w:rPr>
        <w:t>一、2019年主要工作</w:t>
      </w:r>
      <w:bookmarkEnd w:id="1"/>
      <w:bookmarkEnd w:id="2"/>
      <w:bookmarkEnd w:id="3"/>
      <w:r>
        <w:rPr>
          <w:rFonts w:hint="eastAsia" w:ascii="黑体" w:hAnsi="黑体" w:eastAsia="黑体" w:cs="黑体"/>
        </w:rPr>
        <w:t>回顾</w:t>
      </w:r>
      <w:bookmarkEnd w:id="4"/>
      <w:bookmarkEnd w:id="5"/>
      <w:bookmarkEnd w:id="6"/>
    </w:p>
    <w:p>
      <w:pPr>
        <w:spacing w:line="600" w:lineRule="exact"/>
        <w:ind w:firstLine="640" w:firstLineChars="200"/>
        <w:rPr>
          <w:rFonts w:ascii="仿宋" w:hAnsi="仿宋" w:eastAsia="仿宋" w:cs="仿宋"/>
          <w:sz w:val="32"/>
          <w:szCs w:val="32"/>
        </w:rPr>
      </w:pPr>
      <w:bookmarkStart w:id="7" w:name="_Toc46500206"/>
      <w:bookmarkStart w:id="8" w:name="_Toc48736999"/>
      <w:r>
        <w:rPr>
          <w:rFonts w:hint="eastAsia" w:ascii="仿宋" w:hAnsi="仿宋" w:eastAsia="仿宋" w:cs="仿宋"/>
          <w:sz w:val="32"/>
          <w:szCs w:val="32"/>
        </w:rPr>
        <w:t>2019年，四川省装配式建筑产业协会（以下简称协会）在习近平新时代中国特色社会主义思想和党的十九大精神指引下，在省住建厅、厅机关党委、联合党委的坚强领导下，协会坚持深入贯彻省厅决策部署，主动做政府助手，建企业之家，开展了许多富有成效的工作，为引领行业健康发展迈出了坚实的步伐。</w:t>
      </w:r>
    </w:p>
    <w:bookmarkEnd w:id="7"/>
    <w:bookmarkEnd w:id="8"/>
    <w:p>
      <w:pPr>
        <w:spacing w:line="600" w:lineRule="exact"/>
        <w:ind w:firstLine="643" w:firstLineChars="200"/>
        <w:outlineLvl w:val="1"/>
        <w:rPr>
          <w:rFonts w:ascii="楷体" w:hAnsi="楷体" w:eastAsia="楷体" w:cs="楷体"/>
          <w:b/>
          <w:sz w:val="32"/>
          <w:szCs w:val="32"/>
        </w:rPr>
      </w:pPr>
      <w:bookmarkStart w:id="9" w:name="_Toc16341"/>
      <w:r>
        <w:rPr>
          <w:rFonts w:hint="eastAsia" w:ascii="楷体" w:hAnsi="楷体" w:eastAsia="楷体" w:cs="楷体"/>
          <w:b/>
          <w:sz w:val="32"/>
          <w:szCs w:val="32"/>
        </w:rPr>
        <w:t>（一）服务政府的能力得到提升</w:t>
      </w:r>
      <w:bookmarkEnd w:id="9"/>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去年，协会通过开展四川省装配式建筑大讲堂、四川省装配式建筑部品部件生产质量保障能力评估、四川技能大赛—2019年四川建筑职业技能竞赛，组织编写宜宾市叙州区产业发展规划等工作，进一步提升了服务政府的能力。</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1.举办四川省装配式建筑大讲堂系列讲座。</w:t>
      </w:r>
      <w:r>
        <w:rPr>
          <w:rFonts w:hint="eastAsia" w:ascii="仿宋" w:hAnsi="仿宋" w:eastAsia="仿宋" w:cs="仿宋"/>
          <w:sz w:val="32"/>
          <w:szCs w:val="32"/>
        </w:rPr>
        <w:t>2019年，协会邀请政府部门的权威人士、专家顾问，围绕装配式建筑的政策宣贯、标准解读、技术研究、产品推广、工程应用等板块，组织开展了5次四川省装配式建筑大讲堂系列讲座，合计1500余人参加学习。该系列讲座有助于提升全社会对装配式建筑的认知度，营造社会共同关注、支持装配式建筑发展的良好氛围。</w:t>
      </w:r>
      <w:bookmarkStart w:id="10" w:name="_Hlk47533196"/>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2.做好“四川省装配式建筑部品部件生产质量保障能力评估”工作。</w:t>
      </w:r>
      <w:r>
        <w:rPr>
          <w:rFonts w:hint="eastAsia" w:ascii="仿宋" w:hAnsi="仿宋" w:eastAsia="仿宋" w:cs="仿宋"/>
          <w:sz w:val="32"/>
          <w:szCs w:val="32"/>
        </w:rPr>
        <w:t>根据《四川省装配式建筑部品部件生产质量保障能力评估办法》，动员混凝土装配式部品部件及钢结构部品部件生产企业积极申报，为意向企业解答申报要求，针对企业在申报过程中发现的网站后台缺陷，协会积极联系省住建厅系统后台负责人,及时修复完善，确保评估工作顺利进行。2019年12月，协会完成第一批企业认证，编制了第一批部品部件目录交至省住建厅。</w:t>
      </w:r>
      <w:bookmarkEnd w:id="10"/>
      <w:bookmarkStart w:id="11" w:name="_Hlk47533212"/>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3.承办“四川技能大赛—2019年四川建筑职业技能竞赛”。</w:t>
      </w:r>
      <w:r>
        <w:rPr>
          <w:rFonts w:hint="eastAsia" w:ascii="仿宋" w:hAnsi="仿宋" w:eastAsia="仿宋" w:cs="仿宋"/>
          <w:sz w:val="32"/>
          <w:szCs w:val="32"/>
        </w:rPr>
        <w:t>2019年10月22日-23日，协会承办了由省住建厅、省人社厅主办的“四川技能大赛——2019年四川建筑职业技能竞赛”。来自省内成都、乐山、眉山、宜宾、绵阳、雅安、广元、德阳八市州选拔推荐的55支队伍参加了比赛</w:t>
      </w:r>
      <w:bookmarkEnd w:id="11"/>
      <w:r>
        <w:rPr>
          <w:rFonts w:hint="eastAsia" w:ascii="仿宋" w:hAnsi="仿宋" w:eastAsia="仿宋" w:cs="仿宋"/>
          <w:sz w:val="32"/>
          <w:szCs w:val="32"/>
        </w:rPr>
        <w:t>。本次职业技能竞赛激发了广大装配式建筑行业从业人员努力学习专业知识，提高技能水平，不断增强学习能力、创新能力和竞争能力，有助于从业人员更好地服务我省装配式建筑发展。</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4.承办“四川省装配式建筑工业化部品部件产业高质量发展现场推进活动”。</w:t>
      </w:r>
      <w:r>
        <w:rPr>
          <w:rFonts w:hint="eastAsia" w:ascii="仿宋" w:hAnsi="仿宋" w:eastAsia="仿宋" w:cs="仿宋"/>
          <w:sz w:val="32"/>
          <w:szCs w:val="32"/>
        </w:rPr>
        <w:t>2019年12月16-17日，协会承办了由省经信厅、省住建厅联合主办的“四川省装配式建筑工业化部品部件产业高质量发展现场推进活动”。省住建厅、经信厅主要领导出席活动并致辞，各市（州）经信系统与住建系统等政府、装配式建筑产业链上各企事业单位等主要负责同志共计700余人参加此次活动。大会邀请了知名专家学者做主题报告和政策宣讲，有关地区、部门、重点企业进行了经验交流，为推动我省装配式工业化部品部件产业高质量发展起到了助推作用。</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5.组织召开“四川省装配式建筑部品部件与配套建材企业交流座谈会”。</w:t>
      </w:r>
      <w:r>
        <w:rPr>
          <w:rFonts w:hint="eastAsia" w:ascii="仿宋" w:hAnsi="仿宋" w:eastAsia="仿宋" w:cs="仿宋"/>
          <w:sz w:val="32"/>
          <w:szCs w:val="32"/>
        </w:rPr>
        <w:t>2019年5月,由省经信厅、省住建厅指导，协会组织的四川省装配式建筑部品部件与配套建材企业交流座谈会在省经信厅召开。来自全省30余家装配式建筑部品部件生产、施工、配套建材等行业代表企业负责人参加了会议。通过座谈会的交流方式，听取企业代表的行业发展诉求，共同出谋划策，促进建筑工业化水平提升和装配式建筑发展。</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6.牵头组织《宜宾市叙州区装配式建筑产业发展规划（2020-2024）》编写工作。</w:t>
      </w:r>
      <w:r>
        <w:rPr>
          <w:rFonts w:hint="eastAsia" w:ascii="仿宋" w:hAnsi="仿宋" w:eastAsia="仿宋" w:cs="仿宋"/>
          <w:sz w:val="32"/>
          <w:szCs w:val="32"/>
        </w:rPr>
        <w:t>2019年，协会联合西南科技大学和行业专家学者，深入走访调研，收集行业数据资料，制定切实可行的落实措施，编写完成的《宜宾市叙州区装配式建筑产业发展规划（2020-2024）》已被宜宾市叙州区经合局验收。</w:t>
      </w:r>
      <w:bookmarkStart w:id="12" w:name="_Hlk47533278"/>
    </w:p>
    <w:p>
      <w:pPr>
        <w:spacing w:line="600" w:lineRule="exact"/>
        <w:ind w:firstLine="643" w:firstLineChars="200"/>
        <w:rPr>
          <w:rFonts w:ascii="仿宋" w:hAnsi="仿宋" w:eastAsia="仿宋" w:cs="仿宋"/>
          <w:color w:val="FF0000"/>
          <w:sz w:val="32"/>
          <w:szCs w:val="32"/>
        </w:rPr>
      </w:pPr>
      <w:r>
        <w:rPr>
          <w:rFonts w:hint="eastAsia" w:ascii="仿宋" w:hAnsi="仿宋" w:eastAsia="仿宋" w:cs="仿宋"/>
          <w:b/>
          <w:bCs/>
          <w:sz w:val="32"/>
          <w:szCs w:val="32"/>
        </w:rPr>
        <w:t>7.起草政策文件和陪同调研。</w:t>
      </w:r>
      <w:r>
        <w:rPr>
          <w:rFonts w:hint="eastAsia" w:ascii="仿宋" w:hAnsi="仿宋" w:eastAsia="仿宋" w:cs="仿宋"/>
          <w:sz w:val="32"/>
          <w:szCs w:val="32"/>
        </w:rPr>
        <w:t xml:space="preserve">2019年，协会起草了《关于推动装配式建筑示范项目建设的通知》《四川省钢结构装配式住宅试点建设的通知》等文件。组织专家对在川杭萧企业进行调研，编写杭萧在川企业调研报告。陪同省经信厅领导调研了成都中建材、南玻集团、奥菲克斯、北新房屋、成都建工工业化、城投远大、中建二局钢构公司、浙江亚厦璞玉项目、劲腾环保科技、中冶交投善筑等多家企业。 </w:t>
      </w:r>
    </w:p>
    <w:bookmarkEnd w:id="12"/>
    <w:p>
      <w:pPr>
        <w:pStyle w:val="3"/>
        <w:ind w:firstLine="643"/>
        <w:rPr>
          <w:rFonts w:ascii="楷体" w:hAnsi="楷体" w:eastAsia="楷体" w:cs="楷体"/>
          <w:b/>
          <w:bCs w:val="0"/>
        </w:rPr>
      </w:pPr>
      <w:bookmarkStart w:id="13" w:name="_Toc46500207"/>
      <w:bookmarkStart w:id="14" w:name="_Toc44932852"/>
      <w:bookmarkStart w:id="15" w:name="_Toc48737000"/>
      <w:bookmarkStart w:id="16" w:name="_Toc44932735"/>
      <w:bookmarkStart w:id="17" w:name="_Toc28108"/>
      <w:bookmarkStart w:id="18" w:name="_Toc23966"/>
      <w:r>
        <w:rPr>
          <w:rFonts w:hint="eastAsia" w:ascii="楷体" w:hAnsi="楷体" w:eastAsia="楷体" w:cs="楷体"/>
          <w:b/>
          <w:bCs w:val="0"/>
        </w:rPr>
        <w:t>（二）会员服务质量不断提高</w:t>
      </w:r>
      <w:bookmarkEnd w:id="13"/>
      <w:bookmarkEnd w:id="14"/>
      <w:bookmarkEnd w:id="15"/>
      <w:bookmarkEnd w:id="16"/>
      <w:bookmarkEnd w:id="17"/>
      <w:bookmarkEnd w:id="18"/>
    </w:p>
    <w:p>
      <w:pPr>
        <w:spacing w:line="600" w:lineRule="exact"/>
        <w:ind w:firstLine="640" w:firstLineChars="200"/>
        <w:rPr>
          <w:rFonts w:ascii="仿宋" w:hAnsi="仿宋" w:eastAsia="仿宋" w:cs="仿宋"/>
          <w:sz w:val="32"/>
          <w:szCs w:val="32"/>
        </w:rPr>
      </w:pPr>
      <w:bookmarkStart w:id="19" w:name="_Hlk47533337"/>
      <w:r>
        <w:rPr>
          <w:rFonts w:hint="eastAsia" w:ascii="仿宋" w:hAnsi="仿宋" w:eastAsia="仿宋" w:cs="仿宋"/>
          <w:sz w:val="32"/>
          <w:szCs w:val="32"/>
        </w:rPr>
        <w:t>2019年，协会主动走访了多家会员单位，深入了解企业生产经营现状和需求，为企业生产经营和转型发展提供合理建议。针对会员需求，协会提供了专业的企业管理和技术咨询服务。通过宣传优秀企业、名优产品、优秀专家，不断扩大企业影响力，拓展会员企业产品市场，提升专家影响力。</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1.加强协会与会员的粘度。一是</w:t>
      </w:r>
      <w:r>
        <w:rPr>
          <w:rFonts w:hint="eastAsia" w:ascii="仿宋" w:hAnsi="仿宋" w:eastAsia="仿宋" w:cs="仿宋"/>
          <w:sz w:val="32"/>
          <w:szCs w:val="32"/>
        </w:rPr>
        <w:t>主动走访会员单位，为企业服好务。2019年，协会共走访46家单位，接收会员诉求82条，已处理完结82条；在走访中，我们宣贯了政府政策文件精神，介绍了行业发展情况、协会近期重点工作。通过了解企业生产经营情况、产品体系、发展需求等，提出了相应意见和建议，帮助企业解决生产经营中的实际问题。二</w:t>
      </w:r>
      <w:r>
        <w:rPr>
          <w:rFonts w:hint="eastAsia" w:ascii="仿宋" w:hAnsi="仿宋" w:eastAsia="仿宋" w:cs="仿宋"/>
          <w:b/>
          <w:bCs/>
          <w:sz w:val="32"/>
          <w:szCs w:val="32"/>
        </w:rPr>
        <w:t>是</w:t>
      </w:r>
      <w:r>
        <w:rPr>
          <w:rFonts w:hint="eastAsia" w:ascii="仿宋" w:hAnsi="仿宋" w:eastAsia="仿宋" w:cs="仿宋"/>
          <w:sz w:val="32"/>
          <w:szCs w:val="32"/>
        </w:rPr>
        <w:t>发挥联络员在协会与会员单位之间的桥梁纽带作用。2019年，协会共举办2次联络员会议，通过互动交流和调查问卷，收集会员单位对协会的诉求、意见和建议，优化协会服务，加强会员与协会的有效沟通。</w:t>
      </w:r>
      <w:bookmarkEnd w:id="19"/>
      <w:bookmarkStart w:id="20" w:name="_Hlk47533354"/>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2.开展企业咨询服务。一是</w:t>
      </w:r>
      <w:r>
        <w:rPr>
          <w:rFonts w:hint="eastAsia" w:ascii="仿宋" w:hAnsi="仿宋" w:eastAsia="仿宋" w:cs="仿宋"/>
          <w:sz w:val="32"/>
          <w:szCs w:val="32"/>
        </w:rPr>
        <w:t>根据会员需求提出建议。与相关会员单位进行60余次深入交流，了解企业发展现状、发展意愿和管理需求，提供了上百条管理意见和建议。</w:t>
      </w:r>
      <w:r>
        <w:rPr>
          <w:rFonts w:hint="eastAsia" w:ascii="仿宋" w:hAnsi="仿宋" w:eastAsia="仿宋" w:cs="仿宋"/>
          <w:b/>
          <w:bCs/>
          <w:sz w:val="32"/>
          <w:szCs w:val="32"/>
        </w:rPr>
        <w:t>二是</w:t>
      </w:r>
      <w:r>
        <w:rPr>
          <w:rFonts w:hint="eastAsia" w:ascii="仿宋" w:hAnsi="仿宋" w:eastAsia="仿宋" w:cs="仿宋"/>
          <w:sz w:val="32"/>
          <w:szCs w:val="32"/>
        </w:rPr>
        <w:t>对会员企业提供技术咨询服务。针对会员企业提出的技术开发、技术改造、成果推广、工程设计等咨询需求，协会提出建议和方案，形成了7份技术咨询协议报告，签订了5份技术咨询协议，促进企业专业技术能力提升。</w:t>
      </w:r>
    </w:p>
    <w:p>
      <w:pPr>
        <w:spacing w:line="600" w:lineRule="exact"/>
        <w:ind w:firstLine="643" w:firstLineChars="200"/>
        <w:rPr>
          <w:rFonts w:ascii="仿宋" w:hAnsi="仿宋" w:eastAsia="仿宋" w:cs="仿宋"/>
          <w:sz w:val="32"/>
          <w:szCs w:val="32"/>
        </w:rPr>
      </w:pPr>
      <w:bookmarkStart w:id="21" w:name="_Hlk47533379"/>
      <w:r>
        <w:rPr>
          <w:rFonts w:hint="eastAsia" w:ascii="仿宋" w:hAnsi="仿宋" w:eastAsia="仿宋" w:cs="仿宋"/>
          <w:b/>
          <w:bCs/>
          <w:sz w:val="32"/>
          <w:szCs w:val="32"/>
        </w:rPr>
        <w:t>3.宣传优秀企业、名优产品、优秀专家。</w:t>
      </w:r>
      <w:r>
        <w:rPr>
          <w:rFonts w:hint="eastAsia" w:ascii="仿宋" w:hAnsi="仿宋" w:eastAsia="仿宋" w:cs="仿宋"/>
          <w:sz w:val="32"/>
          <w:szCs w:val="32"/>
        </w:rPr>
        <w:t>通过协会期刊、网站、公众号等宣传平台，2019年，协会累计宣传18家优秀企业，推荐10种优质产品，采访报道8名优秀专家</w:t>
      </w:r>
      <w:bookmarkEnd w:id="21"/>
      <w:r>
        <w:rPr>
          <w:rFonts w:hint="eastAsia" w:ascii="仿宋" w:hAnsi="仿宋" w:eastAsia="仿宋" w:cs="仿宋"/>
          <w:sz w:val="32"/>
          <w:szCs w:val="32"/>
        </w:rPr>
        <w:t>，不断扩大企业影响力，拓展会员企业产品市场，提升专家影响力。</w:t>
      </w:r>
    </w:p>
    <w:bookmarkEnd w:id="20"/>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4.启动法律知识系列讲座。</w:t>
      </w:r>
      <w:r>
        <w:rPr>
          <w:rFonts w:hint="eastAsia" w:ascii="仿宋" w:hAnsi="仿宋" w:eastAsia="仿宋" w:cs="仿宋"/>
          <w:sz w:val="32"/>
          <w:szCs w:val="32"/>
        </w:rPr>
        <w:t xml:space="preserve">2019年，协会启动了“建筑领域法律知识”系列讲座，共计开展3次，800余人参加学习。该系列讲座深入剖析和解读企业在工程建设中可能遇到的各类法律问题及税收风险，增强会员企业的法律意识，提高企业在生产经营活动中规避法律风险的能力。 </w:t>
      </w:r>
    </w:p>
    <w:p>
      <w:pPr>
        <w:pStyle w:val="3"/>
        <w:ind w:firstLine="643"/>
        <w:rPr>
          <w:rFonts w:ascii="楷体" w:hAnsi="楷体" w:eastAsia="楷体" w:cs="楷体"/>
          <w:b/>
          <w:bCs w:val="0"/>
        </w:rPr>
      </w:pPr>
      <w:bookmarkStart w:id="22" w:name="_Toc46500208"/>
      <w:bookmarkStart w:id="23" w:name="_Toc9977"/>
      <w:bookmarkStart w:id="24" w:name="_Toc16917"/>
      <w:bookmarkStart w:id="25" w:name="_Toc48737001"/>
      <w:bookmarkStart w:id="26" w:name="_Toc44932736"/>
      <w:bookmarkStart w:id="27" w:name="_Toc44932853"/>
      <w:r>
        <w:rPr>
          <w:rFonts w:hint="eastAsia" w:ascii="楷体" w:hAnsi="楷体" w:eastAsia="楷体" w:cs="楷体"/>
          <w:b/>
          <w:bCs w:val="0"/>
        </w:rPr>
        <w:t>（三）行业引领作用显著增强</w:t>
      </w:r>
      <w:bookmarkEnd w:id="22"/>
      <w:bookmarkEnd w:id="23"/>
      <w:bookmarkEnd w:id="24"/>
      <w:bookmarkEnd w:id="25"/>
      <w:bookmarkEnd w:id="26"/>
      <w:bookmarkEnd w:id="27"/>
    </w:p>
    <w:p>
      <w:pPr>
        <w:spacing w:line="600" w:lineRule="exact"/>
        <w:ind w:firstLine="640" w:firstLineChars="200"/>
        <w:rPr>
          <w:rFonts w:ascii="仿宋" w:hAnsi="仿宋" w:eastAsia="仿宋" w:cs="仿宋"/>
          <w:sz w:val="32"/>
          <w:szCs w:val="32"/>
        </w:rPr>
      </w:pPr>
      <w:bookmarkStart w:id="28" w:name="_Toc44932738"/>
      <w:bookmarkStart w:id="29" w:name="_Toc636"/>
      <w:bookmarkStart w:id="30" w:name="_Toc44932855"/>
      <w:bookmarkStart w:id="31" w:name="_Hlk47533401"/>
      <w:r>
        <w:rPr>
          <w:rFonts w:hint="eastAsia" w:ascii="仿宋" w:hAnsi="仿宋" w:eastAsia="仿宋" w:cs="仿宋"/>
          <w:sz w:val="32"/>
          <w:szCs w:val="32"/>
        </w:rPr>
        <w:t>2019年，协会主办了首届四川省装配式建筑职业技能竞赛，编制了</w:t>
      </w:r>
      <w:r>
        <w:rPr>
          <w:rFonts w:hint="eastAsia" w:ascii="仿宋" w:hAnsi="仿宋" w:eastAsia="仿宋" w:cs="??"/>
          <w:sz w:val="32"/>
          <w:szCs w:val="32"/>
        </w:rPr>
        <w:t>《四川省塔式起重机装配式基础技术标准》等地方标</w:t>
      </w:r>
      <w:r>
        <w:rPr>
          <w:rFonts w:hint="eastAsia" w:ascii="仿宋" w:hAnsi="仿宋" w:eastAsia="仿宋" w:cs="仿宋"/>
          <w:sz w:val="32"/>
          <w:szCs w:val="32"/>
        </w:rPr>
        <w:t>准，成立了四川省装配式建筑产业技术研究院和四川省装配式建筑产业联盟，收集了政策文件和企业信息，为推动建筑工人向产业工人转变、提供适应我省实际情况的技术标准、解决我省装配式建筑发展遇到的问题、搭建行业数据库等方面做出了积极贡献。</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1.主办首届四川省装配式建筑职业技能竞赛。</w:t>
      </w:r>
      <w:r>
        <w:rPr>
          <w:rFonts w:hint="eastAsia" w:ascii="仿宋" w:hAnsi="仿宋" w:eastAsia="仿宋" w:cs="仿宋"/>
          <w:sz w:val="32"/>
          <w:szCs w:val="32"/>
        </w:rPr>
        <w:t>2019年1月，在省住建厅指导下，协会主办了首届四川省装配式建筑职业技能竞赛。通过比赛，评选出了4家优胜单位和12名优秀选手，其中两所院校、4名学生代表四川参加了2019年2月28日全国装配式建筑职业技能总决赛（学生组）。西南科技大学代表队获得团体三等奖；两家企业、8名选手代表四川参加了2019年3月21日的全国装配式建筑职业技能总决赛（职工组），四川代表队职工组（成都建工集团有限公司）获得“团队优胜奖”，四川省获得“优秀组织奖”，四川全部选手获得“优胜选手奖”。</w:t>
      </w:r>
    </w:p>
    <w:bookmarkEnd w:id="28"/>
    <w:bookmarkEnd w:id="29"/>
    <w:bookmarkEnd w:id="30"/>
    <w:bookmarkEnd w:id="31"/>
    <w:p>
      <w:pPr>
        <w:ind w:firstLine="643" w:firstLineChars="200"/>
        <w:rPr>
          <w:rFonts w:ascii="仿宋" w:hAnsi="仿宋" w:eastAsia="仿宋" w:cs="??"/>
          <w:sz w:val="32"/>
          <w:szCs w:val="32"/>
        </w:rPr>
      </w:pPr>
      <w:bookmarkStart w:id="32" w:name="_Hlk47533487"/>
      <w:r>
        <w:rPr>
          <w:rFonts w:hint="eastAsia" w:ascii="仿宋" w:hAnsi="仿宋" w:eastAsia="仿宋" w:cs="仿宋"/>
          <w:b/>
          <w:bCs/>
          <w:sz w:val="32"/>
          <w:szCs w:val="32"/>
        </w:rPr>
        <w:t>2.做好规范标准编制工作。</w:t>
      </w:r>
      <w:r>
        <w:rPr>
          <w:rFonts w:hint="eastAsia" w:ascii="仿宋" w:hAnsi="仿宋" w:eastAsia="仿宋" w:cs="??"/>
          <w:sz w:val="32"/>
          <w:szCs w:val="32"/>
        </w:rPr>
        <w:t>由协会与四川鑫塔塔机基础设备有限责任公司联合主编的协会首部四川省工程建设地方标准《四川省塔式起重机装配式基础技术标准》获批发布；编写《四川省装配式地螺丝钢管桩技术标准》和《四川省装配式城市预制拼装挡土墙技术标准》，目前已完成内部评审，开始对外征求专家意见；修订《四川省装配式建筑产业协会团体标准管理办法（试行）》，正筹备建立全国团体标准信息服务网相关工作；编写《装配式混凝土建筑项目实施指南》，目前正在征求专家意见；参与省级工法资料审核，组织推荐评审专家，为省级工法评审做好各项准备工作。</w:t>
      </w:r>
    </w:p>
    <w:p>
      <w:pPr>
        <w:spacing w:line="600" w:lineRule="exact"/>
        <w:ind w:firstLine="643" w:firstLineChars="200"/>
        <w:rPr>
          <w:rFonts w:ascii="仿宋" w:hAnsi="仿宋" w:eastAsia="仿宋" w:cs="仿宋"/>
          <w:sz w:val="32"/>
          <w:szCs w:val="32"/>
        </w:rPr>
      </w:pPr>
      <w:bookmarkStart w:id="33" w:name="_Hlk47533423"/>
      <w:r>
        <w:rPr>
          <w:rFonts w:hint="eastAsia" w:ascii="仿宋" w:hAnsi="仿宋" w:eastAsia="仿宋" w:cs="仿宋"/>
          <w:b/>
          <w:bCs/>
          <w:sz w:val="32"/>
          <w:szCs w:val="32"/>
        </w:rPr>
        <w:t>3.成立四川省装配式建筑产业技术研究院、四川省装配式建筑产业联盟。</w:t>
      </w:r>
      <w:r>
        <w:rPr>
          <w:rFonts w:hint="eastAsia" w:ascii="仿宋" w:hAnsi="仿宋" w:eastAsia="仿宋" w:cs="仿宋"/>
          <w:sz w:val="32"/>
          <w:szCs w:val="32"/>
        </w:rPr>
        <w:t>2019年7月，协会聚集省内装配式建筑产业链上的骨干企业，科研院校，省部级及以上工程（技术）研究中心、工程实验室、院士工作站等科研平台，成立了四川省装配式建筑产业技术研究院</w:t>
      </w:r>
      <w:bookmarkEnd w:id="32"/>
      <w:bookmarkEnd w:id="33"/>
      <w:bookmarkStart w:id="34" w:name="_Hlk47533565"/>
      <w:r>
        <w:rPr>
          <w:rFonts w:hint="eastAsia" w:ascii="仿宋" w:hAnsi="仿宋" w:eastAsia="仿宋" w:cs="仿宋"/>
          <w:sz w:val="32"/>
          <w:szCs w:val="32"/>
        </w:rPr>
        <w:t>。在成员单位的共同努力下，四川省装配式建筑产业技术研究院将有效解决我省装配式建筑发展的核心问题、共性问题、关键问题，充分发挥我省装配式建筑领域的科研能力，丰富和壮大我省装配式建筑的综合实力。2019年12月，</w:t>
      </w:r>
      <w:bookmarkStart w:id="35" w:name="_Hlk48827426"/>
      <w:r>
        <w:rPr>
          <w:rFonts w:hint="eastAsia" w:ascii="仿宋" w:hAnsi="仿宋" w:eastAsia="仿宋" w:cs="仿宋"/>
          <w:sz w:val="32"/>
          <w:szCs w:val="32"/>
        </w:rPr>
        <w:t>四川省装配式建筑产业联盟</w:t>
      </w:r>
      <w:bookmarkEnd w:id="35"/>
      <w:r>
        <w:rPr>
          <w:rFonts w:hint="eastAsia" w:ascii="仿宋" w:hAnsi="仿宋" w:eastAsia="仿宋" w:cs="仿宋"/>
          <w:sz w:val="32"/>
          <w:szCs w:val="32"/>
        </w:rPr>
        <w:t>揭牌成立。四川省装配式建筑产业联盟主要聚焦企业生产经营资源，凝聚装配式建筑产业各方力量，促进各方合作，达到资源的最大化利用；围绕装配式建筑上下游产业链的需求，培育一批集研发、设计、加工、装配一体化的龙头企业；围绕龙头企业试点示范推行装配式EPC总承包模式和全过程咨询模式，培育可整体推广的装配式建筑组织管理体系标准；推动龙头企业加强产业链合作，转化产品技术标准为市场标准和政策标准，发挥装配式建筑产业基地的优势，努力形成多个百亿级部品部件产业集群。</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4.为行业发展提供基础数据。</w:t>
      </w:r>
      <w:r>
        <w:rPr>
          <w:rFonts w:hint="eastAsia" w:ascii="仿宋" w:hAnsi="仿宋" w:eastAsia="仿宋" w:cs="仿宋"/>
          <w:sz w:val="32"/>
          <w:szCs w:val="32"/>
        </w:rPr>
        <w:t>2019年，协会通过政府部门、企业走访、网络搜集、发放调查表等形式，共收集70家企业数据，涵盖钢结构、PC结构、总承包等领域，为行业发展提供基础数据；收集47篇国家、四川省市州各级政府部门有关装配式建筑发展的政策文件，分类整理并形成政策汇编。</w:t>
      </w:r>
      <w:bookmarkStart w:id="36" w:name="_Toc44932851"/>
      <w:bookmarkStart w:id="37" w:name="_Toc24955"/>
      <w:bookmarkStart w:id="38" w:name="_Toc44932734"/>
    </w:p>
    <w:bookmarkEnd w:id="34"/>
    <w:bookmarkEnd w:id="36"/>
    <w:bookmarkEnd w:id="37"/>
    <w:bookmarkEnd w:id="38"/>
    <w:p>
      <w:pPr>
        <w:pStyle w:val="3"/>
        <w:ind w:firstLine="643"/>
        <w:rPr>
          <w:rFonts w:ascii="楷体" w:hAnsi="楷体" w:eastAsia="楷体" w:cs="楷体"/>
          <w:b/>
          <w:bCs w:val="0"/>
        </w:rPr>
      </w:pPr>
      <w:bookmarkStart w:id="39" w:name="_Toc30633"/>
      <w:bookmarkStart w:id="40" w:name="_Toc46500209"/>
      <w:bookmarkStart w:id="41" w:name="_Toc48737002"/>
      <w:r>
        <w:rPr>
          <w:rFonts w:hint="eastAsia" w:ascii="楷体" w:hAnsi="楷体" w:eastAsia="楷体" w:cs="楷体"/>
          <w:b/>
          <w:bCs w:val="0"/>
        </w:rPr>
        <w:t>（四）协会自身建设取得成效</w:t>
      </w:r>
      <w:bookmarkEnd w:id="39"/>
      <w:bookmarkEnd w:id="40"/>
      <w:bookmarkEnd w:id="41"/>
      <w:bookmarkStart w:id="42" w:name="_Toc44932849"/>
      <w:bookmarkStart w:id="43" w:name="_Toc21330"/>
      <w:bookmarkStart w:id="44" w:name="_Toc44932732"/>
    </w:p>
    <w:p>
      <w:pPr>
        <w:spacing w:line="600" w:lineRule="exact"/>
        <w:ind w:firstLine="640" w:firstLineChars="200"/>
        <w:rPr>
          <w:rFonts w:ascii="仿宋" w:hAnsi="仿宋" w:eastAsia="仿宋" w:cs="仿宋"/>
          <w:sz w:val="32"/>
          <w:szCs w:val="32"/>
        </w:rPr>
      </w:pPr>
      <w:bookmarkStart w:id="45" w:name="_Hlk47533596"/>
      <w:r>
        <w:rPr>
          <w:rFonts w:hint="eastAsia" w:ascii="仿宋" w:hAnsi="仿宋" w:eastAsia="仿宋" w:cs="仿宋"/>
          <w:sz w:val="32"/>
          <w:szCs w:val="32"/>
        </w:rPr>
        <w:t>2019年，协会设立了支部委员会，完善了组织机构和协会制度，扩大了会员规模，开展了扶贫工作，协会自身建设取得了新进展，为提高业务能力和服务水平打下了坚实基础。</w:t>
      </w:r>
    </w:p>
    <w:bookmarkEnd w:id="42"/>
    <w:bookmarkEnd w:id="43"/>
    <w:bookmarkEnd w:id="44"/>
    <w:p>
      <w:pPr>
        <w:spacing w:line="600" w:lineRule="exact"/>
        <w:ind w:firstLine="643" w:firstLineChars="200"/>
        <w:rPr>
          <w:rFonts w:ascii="仿宋" w:hAnsi="仿宋" w:eastAsia="仿宋" w:cs="仿宋"/>
          <w:strike/>
          <w:sz w:val="32"/>
          <w:szCs w:val="32"/>
        </w:rPr>
      </w:pPr>
      <w:r>
        <w:rPr>
          <w:rFonts w:hint="eastAsia" w:ascii="仿宋" w:hAnsi="仿宋" w:eastAsia="仿宋" w:cs="仿宋"/>
          <w:b/>
          <w:bCs/>
          <w:sz w:val="32"/>
          <w:szCs w:val="32"/>
        </w:rPr>
        <w:t>1.党的建设得到加强。</w:t>
      </w:r>
      <w:r>
        <w:rPr>
          <w:rFonts w:hint="eastAsia" w:ascii="仿宋" w:hAnsi="仿宋" w:eastAsia="仿宋" w:cs="仿宋"/>
          <w:sz w:val="32"/>
          <w:szCs w:val="32"/>
        </w:rPr>
        <w:t>经中共四川省住房和城乡建设厅社会组织联合党委批准，协会党支部于2019年7月5日设立支部委员会；健全完善11个党支部制度，支部制度建设得到加强；扎实开展“不忘初心、牢记使命”主题教育，坚持把政治建设摆在首位，突出全面从严治党、从严治会，带领广大党员群众开展思想政治教育活动。</w:t>
      </w:r>
    </w:p>
    <w:bookmarkEnd w:id="45"/>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2.组织管理水平明显提高。</w:t>
      </w:r>
      <w:r>
        <w:rPr>
          <w:rFonts w:hint="eastAsia" w:ascii="仿宋" w:hAnsi="仿宋" w:eastAsia="仿宋" w:cs="仿宋"/>
          <w:sz w:val="32"/>
          <w:szCs w:val="32"/>
        </w:rPr>
        <w:t>为更好地引领和推动四川省装配式建筑产业发展，协会秘书处职能部门调整为综合管理办公室、规划发展部、人事会员部、宣传推广部、对外合作部、科技管理部、装配式人才培训部，为提高工作效率、服务好会员提供了组织保证。为更全面、系统、深入地开展相关专业板块工作，2019年，协会设立了装配式部品部件分会、墙材分会，为会员单位提供更专业、高效的优质服务。</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3.制度建设进一步完善。</w:t>
      </w:r>
      <w:r>
        <w:rPr>
          <w:rFonts w:hint="eastAsia" w:ascii="仿宋" w:hAnsi="仿宋" w:eastAsia="仿宋" w:cs="仿宋"/>
          <w:sz w:val="32"/>
          <w:szCs w:val="32"/>
        </w:rPr>
        <w:t>2019年，为贯彻落实“5A级社会组织”的相关要求，协会修订完善了《章程》，并报省住建厅审批和省民政厅核准备案。协会对制度进行了修订完善，共修订完善内部管理制度62个，并形成了协会内部管理制度汇编，确保协会各项工作有章可循，有制可依。</w:t>
      </w:r>
    </w:p>
    <w:p>
      <w:pPr>
        <w:spacing w:line="600" w:lineRule="exact"/>
        <w:ind w:firstLine="643" w:firstLineChars="200"/>
        <w:rPr>
          <w:rFonts w:hint="eastAsia" w:ascii="仿宋" w:hAnsi="仿宋" w:eastAsia="仿宋" w:cs="仿宋"/>
          <w:sz w:val="32"/>
          <w:szCs w:val="32"/>
        </w:rPr>
      </w:pPr>
      <w:bookmarkStart w:id="46" w:name="_Hlk47533619"/>
      <w:r>
        <w:rPr>
          <w:rFonts w:hint="eastAsia" w:ascii="仿宋" w:hAnsi="仿宋" w:eastAsia="仿宋" w:cs="仿宋"/>
          <w:b/>
          <w:bCs/>
          <w:sz w:val="32"/>
          <w:szCs w:val="32"/>
        </w:rPr>
        <w:t>4.会员规模不断扩大。</w:t>
      </w:r>
      <w:r>
        <w:rPr>
          <w:rFonts w:hint="eastAsia" w:ascii="仿宋" w:hAnsi="仿宋" w:eastAsia="仿宋" w:cs="仿宋"/>
          <w:sz w:val="32"/>
          <w:szCs w:val="32"/>
        </w:rPr>
        <w:t>2019年协会新发展会员162家</w:t>
      </w:r>
      <w:r>
        <w:rPr>
          <w:rFonts w:hint="eastAsia" w:ascii="仿宋" w:hAnsi="仿宋" w:eastAsia="仿宋" w:cs="仿宋"/>
          <w:sz w:val="32"/>
          <w:szCs w:val="32"/>
          <w:lang w:eastAsia="zh-CN"/>
        </w:rPr>
        <w:t>。</w:t>
      </w:r>
      <w:bookmarkEnd w:id="46"/>
      <w:r>
        <w:rPr>
          <w:rFonts w:hint="eastAsia" w:ascii="仿宋" w:hAnsi="仿宋" w:eastAsia="仿宋" w:cs="仿宋"/>
          <w:sz w:val="32"/>
          <w:szCs w:val="32"/>
        </w:rPr>
        <w:t>目前，协会已有516家会员单位，其中总承包及配套企业146家，PC及配套企业55家，钢结构及配套企业132家，木结构企业4家，材料企业20家，装饰装修企业49家，房地产开发及配套企业17家，墙材企业26家，设计院所及科研院校33家，其他企业34家，已基本覆盖装配式建筑全产业链上的企事业单位。</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5.扶贫和公益活动持续开展。</w:t>
      </w:r>
      <w:r>
        <w:rPr>
          <w:rFonts w:hint="eastAsia" w:ascii="仿宋" w:hAnsi="仿宋" w:eastAsia="仿宋" w:cs="仿宋"/>
          <w:sz w:val="32"/>
          <w:szCs w:val="32"/>
        </w:rPr>
        <w:t>2019年，协会开展了慰问</w:t>
      </w:r>
      <w:r>
        <w:rPr>
          <w:rFonts w:hint="eastAsia" w:ascii="仿宋" w:hAnsi="仿宋" w:eastAsia="仿宋" w:cs="仿宋"/>
          <w:color w:val="000000" w:themeColor="text1"/>
          <w:kern w:val="0"/>
          <w:sz w:val="32"/>
          <w:szCs w:val="32"/>
        </w:rPr>
        <w:t>生活困难群众、</w:t>
      </w:r>
      <w:r>
        <w:rPr>
          <w:rFonts w:hint="eastAsia" w:ascii="仿宋" w:hAnsi="仿宋" w:eastAsia="仿宋"/>
          <w:sz w:val="32"/>
          <w:szCs w:val="32"/>
        </w:rPr>
        <w:t>向甘孜藏族自治州得荣县幼儿园捐赠幼儿</w:t>
      </w:r>
      <w:r>
        <w:rPr>
          <w:rFonts w:hint="eastAsia" w:ascii="仿宋" w:hAnsi="仿宋" w:eastAsia="仿宋"/>
          <w:color w:val="000000" w:themeColor="text1"/>
          <w:sz w:val="32"/>
          <w:szCs w:val="32"/>
        </w:rPr>
        <w:t>教学用具、爱心募捐等</w:t>
      </w:r>
      <w:r>
        <w:rPr>
          <w:rFonts w:hint="eastAsia" w:ascii="仿宋" w:hAnsi="仿宋" w:eastAsia="仿宋" w:cs="仿宋"/>
          <w:sz w:val="32"/>
          <w:szCs w:val="32"/>
        </w:rPr>
        <w:t>扶贫活动，累计捐赠22612元（含捐款和捐物</w:t>
      </w:r>
      <w:r>
        <w:rPr>
          <w:rFonts w:hint="eastAsia" w:ascii="仿宋" w:hAnsi="仿宋" w:eastAsia="仿宋"/>
          <w:sz w:val="32"/>
          <w:szCs w:val="32"/>
        </w:rPr>
        <w:t>）</w:t>
      </w:r>
      <w:r>
        <w:rPr>
          <w:rFonts w:hint="eastAsia" w:ascii="仿宋" w:hAnsi="仿宋" w:eastAsia="仿宋" w:cs="仿宋"/>
          <w:sz w:val="32"/>
          <w:szCs w:val="32"/>
        </w:rPr>
        <w:t>。另外，协会员工积极参加2019年世界献血者日四川省无偿献血活动，为社会贡献自已的一份力量。</w:t>
      </w:r>
    </w:p>
    <w:p>
      <w:pPr>
        <w:spacing w:line="620" w:lineRule="exact"/>
        <w:ind w:firstLine="640" w:firstLineChars="200"/>
        <w:rPr>
          <w:rFonts w:ascii="仿宋" w:hAnsi="仿宋" w:eastAsia="仿宋" w:cs="仿宋"/>
          <w:sz w:val="32"/>
          <w:szCs w:val="32"/>
        </w:rPr>
      </w:pP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协会上述成绩的取得，离不开省住建厅、厅机关党委、联合党委的坚强领导，离不开广大会员单位的大力支持，离不开协会工作团队的辛勤付出。在此，我代表四川省装配式建筑产业协会，向关心支持协会工作的上级部门、会员单位，表示诚挚感谢！</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虽然协会取得了一些成绩，但我们也清醒地看到面临的问题：</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1.“两个平台”建设力度不够，特别是四川省装配式建筑产业技术研究院的后续工作发力不足。</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2.专业分会、区域办事处、区域联络点建设力度不够。</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3.脱钩后如何开展协会工作，更有效地得到政府认可、企业认可有待解决。</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4.整合会员单位、专家专业能力不强，会员企业与专家服务行业效果不佳。</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5.协会员工服务能力、工作创新能力有待提升。</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针对这些问题，我们一定要努力改进工作，切实履行职责，尽心竭力</w:t>
      </w:r>
      <w:r>
        <w:rPr>
          <w:rFonts w:hint="eastAsia" w:ascii="仿宋" w:hAnsi="仿宋" w:eastAsia="仿宋" w:cs="仿宋"/>
          <w:sz w:val="32"/>
          <w:szCs w:val="32"/>
          <w:lang w:eastAsia="zh-CN"/>
        </w:rPr>
        <w:t>做好服务工作</w:t>
      </w:r>
      <w:r>
        <w:rPr>
          <w:rFonts w:hint="eastAsia" w:ascii="仿宋" w:hAnsi="仿宋" w:eastAsia="仿宋" w:cs="仿宋"/>
          <w:sz w:val="32"/>
          <w:szCs w:val="32"/>
        </w:rPr>
        <w:t>，不辜负大家的期待。</w:t>
      </w:r>
    </w:p>
    <w:p>
      <w:pPr>
        <w:pStyle w:val="2"/>
        <w:spacing w:before="156" w:after="156"/>
        <w:ind w:firstLine="640"/>
        <w:jc w:val="both"/>
        <w:rPr>
          <w:rFonts w:ascii="黑体" w:hAnsi="黑体" w:eastAsia="黑体" w:cs="黑体"/>
        </w:rPr>
      </w:pPr>
      <w:bookmarkStart w:id="47" w:name="_Toc161"/>
      <w:r>
        <w:rPr>
          <w:rFonts w:hint="eastAsia" w:ascii="黑体" w:hAnsi="黑体" w:eastAsia="黑体" w:cs="黑体"/>
        </w:rPr>
        <w:t>二、面临的形势</w:t>
      </w:r>
      <w:bookmarkEnd w:id="47"/>
    </w:p>
    <w:p>
      <w:pPr>
        <w:ind w:firstLine="640" w:firstLineChars="200"/>
        <w:rPr>
          <w:rFonts w:ascii="仿宋" w:hAnsi="仿宋" w:eastAsia="仿宋" w:cs="仿宋"/>
          <w:sz w:val="32"/>
          <w:szCs w:val="32"/>
        </w:rPr>
      </w:pPr>
      <w:r>
        <w:rPr>
          <w:rFonts w:hint="eastAsia" w:ascii="仿宋" w:hAnsi="仿宋" w:eastAsia="仿宋" w:cs="仿宋"/>
          <w:sz w:val="32"/>
          <w:szCs w:val="32"/>
        </w:rPr>
        <w:t>总体上看，协会工作稳中有进，具有高质量发展的基础和条件。但必须认识到，当前和今后面临的环境复杂，协会在发展道路上还将面临各种新问题。我们要</w:t>
      </w:r>
      <w:bookmarkStart w:id="48" w:name="_Toc9821"/>
      <w:bookmarkStart w:id="49" w:name="_Toc7153"/>
      <w:bookmarkStart w:id="50" w:name="_Toc1830"/>
      <w:bookmarkStart w:id="51" w:name="_Toc19810"/>
      <w:bookmarkStart w:id="52" w:name="_Toc13653"/>
      <w:bookmarkStart w:id="53" w:name="_Toc2087"/>
      <w:bookmarkStart w:id="54" w:name="_Toc7081"/>
      <w:bookmarkStart w:id="55" w:name="_Toc23848"/>
      <w:bookmarkStart w:id="56" w:name="_Toc6620"/>
      <w:bookmarkStart w:id="57" w:name="_Toc5260"/>
      <w:bookmarkStart w:id="58" w:name="_Toc31829"/>
      <w:bookmarkStart w:id="59" w:name="_Toc19982"/>
      <w:r>
        <w:rPr>
          <w:rFonts w:hint="eastAsia" w:ascii="仿宋" w:hAnsi="仿宋" w:eastAsia="仿宋" w:cs="仿宋"/>
          <w:sz w:val="32"/>
          <w:szCs w:val="32"/>
        </w:rPr>
        <w:t>找准定位，紧扣目标任务，坚定信心，攻坚克难，确保年度工作目标的实现。</w:t>
      </w:r>
    </w:p>
    <w:bookmarkEnd w:id="48"/>
    <w:bookmarkEnd w:id="49"/>
    <w:bookmarkEnd w:id="50"/>
    <w:bookmarkEnd w:id="51"/>
    <w:bookmarkEnd w:id="52"/>
    <w:bookmarkEnd w:id="53"/>
    <w:bookmarkEnd w:id="54"/>
    <w:bookmarkEnd w:id="55"/>
    <w:bookmarkEnd w:id="56"/>
    <w:bookmarkEnd w:id="57"/>
    <w:bookmarkEnd w:id="58"/>
    <w:bookmarkEnd w:id="59"/>
    <w:p>
      <w:pPr>
        <w:pStyle w:val="22"/>
        <w:spacing w:line="360" w:lineRule="auto"/>
        <w:ind w:firstLine="643"/>
        <w:outlineLvl w:val="1"/>
        <w:rPr>
          <w:rFonts w:ascii="仿宋" w:hAnsi="仿宋" w:eastAsia="仿宋" w:cs="Times New Roman"/>
          <w:b/>
          <w:bCs/>
          <w:sz w:val="32"/>
          <w:szCs w:val="32"/>
        </w:rPr>
      </w:pPr>
      <w:bookmarkStart w:id="60" w:name="_Toc26002"/>
      <w:r>
        <w:rPr>
          <w:rFonts w:hint="eastAsia" w:ascii="楷体" w:hAnsi="楷体" w:eastAsia="楷体" w:cs="楷体"/>
          <w:b/>
          <w:bCs/>
          <w:sz w:val="32"/>
          <w:szCs w:val="32"/>
        </w:rPr>
        <w:t>（一）</w:t>
      </w:r>
      <w:bookmarkStart w:id="61" w:name="_Toc44932741"/>
      <w:bookmarkStart w:id="62" w:name="_Toc44932858"/>
      <w:bookmarkStart w:id="63" w:name="_Toc21655"/>
      <w:r>
        <w:rPr>
          <w:rFonts w:hint="eastAsia" w:ascii="楷体" w:hAnsi="楷体" w:eastAsia="楷体" w:cs="楷体"/>
          <w:b/>
          <w:bCs/>
          <w:sz w:val="32"/>
          <w:szCs w:val="32"/>
        </w:rPr>
        <w:t>装配式建筑发展的有利政策和发展环境正在形成</w:t>
      </w:r>
      <w:bookmarkEnd w:id="60"/>
    </w:p>
    <w:p>
      <w:pPr>
        <w:pStyle w:val="22"/>
        <w:spacing w:line="360" w:lineRule="auto"/>
        <w:ind w:firstLine="640"/>
        <w:rPr>
          <w:rFonts w:ascii="Times New Roman" w:hAnsi="Times New Roman" w:eastAsia="仿宋" w:cs="Times New Roman"/>
          <w:color w:val="000000"/>
          <w:sz w:val="32"/>
          <w:szCs w:val="32"/>
        </w:rPr>
      </w:pPr>
      <w:r>
        <w:rPr>
          <w:rFonts w:hint="eastAsia" w:ascii="仿宋" w:hAnsi="仿宋" w:eastAsia="仿宋" w:cs="Times New Roman"/>
          <w:sz w:val="32"/>
          <w:szCs w:val="32"/>
        </w:rPr>
        <w:t>装</w:t>
      </w:r>
      <w:r>
        <w:rPr>
          <w:rFonts w:hint="eastAsia" w:ascii="仿宋" w:hAnsi="仿宋" w:eastAsia="仿宋" w:cs="仿宋"/>
          <w:kern w:val="2"/>
          <w:sz w:val="32"/>
          <w:szCs w:val="32"/>
          <w:lang w:val="en-US" w:eastAsia="zh-CN" w:bidi="ar-SA"/>
        </w:rPr>
        <w:t>配式建筑在促进产业转型升级、推动城乡建设绿色发展和供给侧结构性改革方面发挥着重要作用，受到党中央、国务院的高度重视，现已上升为国家发展战略。国家、各省市相继发布了装配式建筑产业政策文件，明确了装配式建筑发展的工作目标、重点任务以及保障措施，为加大装配式建筑推广应用，持续推动装配式建筑发展，加快形成装配式建筑发展的市场机制和环境提供了政策支持。目前，协会是四川省住房和城乡</w:t>
      </w:r>
      <w:r>
        <w:rPr>
          <w:rFonts w:hint="eastAsia" w:ascii="Times New Roman" w:hAnsi="Times New Roman" w:eastAsia="仿宋" w:cs="Times New Roman"/>
          <w:color w:val="000000"/>
          <w:sz w:val="32"/>
          <w:szCs w:val="32"/>
        </w:rPr>
        <w:t>建设厅主管的唯一一家装配式建筑产业方面的5A级协会，</w:t>
      </w:r>
      <w:r>
        <w:rPr>
          <w:rFonts w:hint="eastAsia" w:ascii="Times New Roman" w:hAnsi="Times New Roman" w:eastAsia="仿宋" w:cs="Times New Roman"/>
          <w:color w:val="000000"/>
          <w:sz w:val="32"/>
          <w:szCs w:val="32"/>
          <w:lang w:val="en-US" w:eastAsia="zh-CN"/>
        </w:rPr>
        <w:t>将</w:t>
      </w:r>
      <w:r>
        <w:rPr>
          <w:rFonts w:hint="eastAsia" w:ascii="Times New Roman" w:hAnsi="Times New Roman" w:eastAsia="仿宋" w:cs="Times New Roman"/>
          <w:color w:val="000000"/>
          <w:sz w:val="32"/>
          <w:szCs w:val="32"/>
        </w:rPr>
        <w:t>主动承担责任，发挥政府和市场之间的桥梁作用，引导和促进我省装配式建筑产业健康有序发展。</w:t>
      </w:r>
    </w:p>
    <w:p>
      <w:pPr>
        <w:pStyle w:val="22"/>
        <w:spacing w:line="360" w:lineRule="auto"/>
        <w:ind w:firstLine="643"/>
        <w:outlineLvl w:val="1"/>
        <w:rPr>
          <w:rFonts w:ascii="楷体" w:hAnsi="楷体" w:eastAsia="楷体" w:cs="楷体"/>
          <w:b/>
          <w:bCs/>
          <w:color w:val="FF0000"/>
          <w:sz w:val="32"/>
          <w:szCs w:val="32"/>
        </w:rPr>
      </w:pPr>
      <w:bookmarkStart w:id="64" w:name="_Toc9314"/>
      <w:r>
        <w:rPr>
          <w:rFonts w:hint="eastAsia" w:ascii="楷体" w:hAnsi="楷体" w:eastAsia="楷体" w:cs="楷体"/>
          <w:b/>
          <w:bCs/>
          <w:sz w:val="32"/>
          <w:szCs w:val="32"/>
        </w:rPr>
        <w:t>（二）协会与行政机关逐步脱钩</w:t>
      </w:r>
      <w:bookmarkEnd w:id="64"/>
      <w:r>
        <w:rPr>
          <w:rFonts w:hint="eastAsia" w:ascii="楷体" w:hAnsi="楷体" w:eastAsia="楷体" w:cs="楷体"/>
          <w:b/>
          <w:bCs/>
          <w:sz w:val="32"/>
          <w:szCs w:val="32"/>
        </w:rPr>
        <w:t>的步伐明显加快</w:t>
      </w:r>
    </w:p>
    <w:p>
      <w:pPr>
        <w:pStyle w:val="22"/>
        <w:spacing w:line="360" w:lineRule="auto"/>
        <w:ind w:firstLine="640"/>
        <w:rPr>
          <w:rFonts w:ascii="仿宋" w:hAnsi="仿宋" w:eastAsia="仿宋" w:cs="仿宋"/>
          <w:sz w:val="32"/>
          <w:szCs w:val="32"/>
        </w:rPr>
      </w:pPr>
      <w:r>
        <w:rPr>
          <w:rFonts w:hint="eastAsia" w:ascii="仿宋" w:hAnsi="仿宋" w:eastAsia="仿宋" w:cs="仿宋"/>
          <w:sz w:val="32"/>
          <w:szCs w:val="32"/>
        </w:rPr>
        <w:t xml:space="preserve">实行行业协会与行政机关脱钩，是党中央、国务院推进全面深化改革做出的一项重大决策部署。脱钩改革最基本的出发点和立足点，就是适应全面深化改革和市场经济发展需要，促进行业协会规范健康发展、更好地发挥作用，推动行业协会更好地为国家、社会、会员做好服务，当好政府和市场之间的桥梁。  </w:t>
      </w:r>
    </w:p>
    <w:p>
      <w:pPr>
        <w:pStyle w:val="22"/>
        <w:spacing w:line="360" w:lineRule="auto"/>
        <w:ind w:firstLine="643"/>
        <w:rPr>
          <w:rFonts w:ascii="仿宋" w:hAnsi="仿宋" w:eastAsia="仿宋" w:cs="仿宋"/>
          <w:sz w:val="32"/>
          <w:szCs w:val="32"/>
        </w:rPr>
      </w:pPr>
      <w:r>
        <w:rPr>
          <w:rFonts w:hint="eastAsia" w:ascii="仿宋" w:hAnsi="仿宋" w:eastAsia="仿宋" w:cs="仿宋"/>
          <w:b/>
          <w:bCs/>
          <w:sz w:val="32"/>
          <w:szCs w:val="32"/>
        </w:rPr>
        <w:t>1.脱钩后协会面临的有利因素和挑战。一是</w:t>
      </w:r>
      <w:r>
        <w:rPr>
          <w:rFonts w:hint="eastAsia" w:ascii="仿宋" w:hAnsi="仿宋" w:eastAsia="仿宋" w:cs="仿宋"/>
          <w:sz w:val="32"/>
          <w:szCs w:val="32"/>
        </w:rPr>
        <w:t>协会面临的有利因素。现在协会处于发展的初级阶段，脱钩有利于激发协会的内在活力和发展动力，增强自主性，特别是在经济发展进入新常态的背景下，能更好地发挥在产业结构调整、企业创新转型、经济提质增效升级中的独特优势和应有作用，有利于推动协会将工作重心从服务政府转向更好地为地方企业提供智力服务支持、加强行业自律、引导规范市场行为，有利于协会更好地开展服务工作。</w:t>
      </w:r>
      <w:r>
        <w:rPr>
          <w:rFonts w:hint="eastAsia" w:ascii="仿宋" w:hAnsi="仿宋" w:eastAsia="仿宋" w:cs="仿宋"/>
          <w:b/>
          <w:bCs/>
          <w:sz w:val="32"/>
          <w:szCs w:val="32"/>
        </w:rPr>
        <w:t>二是</w:t>
      </w:r>
      <w:r>
        <w:rPr>
          <w:rFonts w:hint="eastAsia" w:ascii="仿宋" w:hAnsi="仿宋" w:eastAsia="仿宋" w:cs="仿宋"/>
          <w:sz w:val="32"/>
          <w:szCs w:val="32"/>
        </w:rPr>
        <w:t>协会面临的挑战。装配式建筑的社会接受度不高，协会在推动装配式建筑发展的工作中，权威性将面临下降风险。但脱钩不等于脱管，脱钩后，在协会推广装配式建造方式的初级阶段，还需要政府部门支持协会参与相关立法、公共政策、行业标准和行业数据统计等事务，充分发挥协会在行业指南、共性技术平台、第三方咨询评估等方面的作用。</w:t>
      </w:r>
    </w:p>
    <w:p>
      <w:pPr>
        <w:pStyle w:val="22"/>
        <w:spacing w:line="360" w:lineRule="auto"/>
        <w:ind w:firstLine="643"/>
        <w:rPr>
          <w:rFonts w:ascii="仿宋" w:hAnsi="仿宋" w:eastAsia="仿宋" w:cs="仿宋"/>
          <w:sz w:val="32"/>
          <w:szCs w:val="32"/>
        </w:rPr>
      </w:pPr>
      <w:r>
        <w:rPr>
          <w:rFonts w:hint="eastAsia" w:ascii="仿宋" w:hAnsi="仿宋" w:eastAsia="仿宋" w:cs="仿宋"/>
          <w:b/>
          <w:bCs/>
          <w:sz w:val="32"/>
          <w:szCs w:val="32"/>
        </w:rPr>
        <w:t>2.脱钩后，协会面临七大转变</w:t>
      </w:r>
      <w:r>
        <w:rPr>
          <w:rFonts w:hint="eastAsia" w:ascii="仿宋" w:hAnsi="仿宋" w:eastAsia="仿宋" w:cs="仿宋"/>
          <w:sz w:val="32"/>
          <w:szCs w:val="32"/>
        </w:rPr>
        <w:t>。脱钩后，协会由依托政府，转变为被政府认可；由代表政府联系企业，转变为被企业认可；由背靠政府发展，转变为在市场环境中独立发展；由原非营利性组织，转变为在市场中经营发展的平台；由原政府统管下的行业协会组织，变为具有自主决策经营的社团组织；工作方面由政策导向，转变为政策与市场的综合导向；企业服务内容由宏观转为微观</w:t>
      </w:r>
      <w:r>
        <w:rPr>
          <w:rFonts w:hint="eastAsia" w:ascii="仿宋" w:hAnsi="仿宋" w:eastAsia="仿宋" w:cs="仿宋"/>
          <w:sz w:val="32"/>
          <w:szCs w:val="32"/>
          <w:lang w:eastAsia="zh-CN"/>
        </w:rPr>
        <w:t>，</w:t>
      </w:r>
      <w:r>
        <w:rPr>
          <w:rFonts w:hint="eastAsia" w:ascii="仿宋" w:hAnsi="仿宋" w:eastAsia="仿宋" w:cs="仿宋"/>
          <w:sz w:val="32"/>
          <w:szCs w:val="32"/>
        </w:rPr>
        <w:t>由无偿服务转为有偿服务。</w:t>
      </w:r>
      <w:bookmarkStart w:id="65" w:name="_Hlk47425451"/>
    </w:p>
    <w:p>
      <w:pPr>
        <w:pStyle w:val="22"/>
        <w:spacing w:line="360" w:lineRule="auto"/>
        <w:ind w:firstLine="643"/>
        <w:rPr>
          <w:rFonts w:ascii="仿宋" w:hAnsi="仿宋" w:eastAsia="仿宋" w:cs="仿宋"/>
          <w:sz w:val="32"/>
          <w:szCs w:val="32"/>
        </w:rPr>
      </w:pPr>
      <w:r>
        <w:rPr>
          <w:rFonts w:hint="eastAsia" w:ascii="仿宋" w:hAnsi="仿宋" w:eastAsia="仿宋" w:cs="仿宋"/>
          <w:b/>
          <w:bCs/>
          <w:sz w:val="32"/>
          <w:szCs w:val="32"/>
        </w:rPr>
        <w:t>3.脱钩后，协会的定位。</w:t>
      </w:r>
      <w:r>
        <w:rPr>
          <w:rFonts w:hint="eastAsia" w:ascii="仿宋" w:hAnsi="仿宋" w:eastAsia="仿宋" w:cs="仿宋"/>
          <w:sz w:val="32"/>
          <w:szCs w:val="32"/>
        </w:rPr>
        <w:t>要坚持以习近平新时代中国特色社会主义思想为指导，坚持党对协会的全面领导，以国家产业政策与市场需求为导向，搞好</w:t>
      </w:r>
      <w:r>
        <w:rPr>
          <w:rFonts w:hint="eastAsia" w:ascii="仿宋" w:hAnsi="仿宋" w:eastAsia="仿宋" w:cs="仿宋"/>
          <w:sz w:val="32"/>
          <w:szCs w:val="32"/>
          <w:lang w:val="en-US" w:eastAsia="zh-CN"/>
        </w:rPr>
        <w:t>协会治理</w:t>
      </w:r>
      <w:r>
        <w:rPr>
          <w:rFonts w:hint="eastAsia" w:ascii="仿宋" w:hAnsi="仿宋" w:eastAsia="仿宋" w:cs="仿宋"/>
          <w:sz w:val="32"/>
          <w:szCs w:val="32"/>
        </w:rPr>
        <w:t>，坚持服务为本，当好政府和</w:t>
      </w:r>
      <w:r>
        <w:rPr>
          <w:rFonts w:hint="eastAsia" w:ascii="仿宋" w:hAnsi="仿宋" w:eastAsia="仿宋" w:cs="仿宋"/>
          <w:sz w:val="32"/>
          <w:szCs w:val="32"/>
          <w:lang w:eastAsia="zh-CN"/>
        </w:rPr>
        <w:t>企业</w:t>
      </w:r>
      <w:r>
        <w:rPr>
          <w:rFonts w:hint="eastAsia" w:ascii="仿宋" w:hAnsi="仿宋" w:eastAsia="仿宋" w:cs="仿宋"/>
          <w:sz w:val="32"/>
          <w:szCs w:val="32"/>
        </w:rPr>
        <w:t>的帮手，依靠会员办会，打造政府满意、会员满意的服务平台，凝聚行业发展智慧，</w:t>
      </w:r>
      <w:r>
        <w:rPr>
          <w:rFonts w:hint="eastAsia" w:ascii="仿宋" w:hAnsi="仿宋" w:eastAsia="仿宋" w:cs="仿宋"/>
          <w:sz w:val="32"/>
          <w:szCs w:val="32"/>
          <w:lang w:eastAsia="zh-CN"/>
        </w:rPr>
        <w:t>创新发展机制，协调</w:t>
      </w:r>
      <w:r>
        <w:rPr>
          <w:rFonts w:hint="eastAsia" w:ascii="仿宋" w:hAnsi="仿宋" w:eastAsia="仿宋" w:cs="仿宋"/>
          <w:sz w:val="32"/>
          <w:szCs w:val="32"/>
        </w:rPr>
        <w:t>行业</w:t>
      </w:r>
      <w:r>
        <w:rPr>
          <w:rFonts w:hint="eastAsia" w:ascii="仿宋" w:hAnsi="仿宋" w:eastAsia="仿宋" w:cs="仿宋"/>
          <w:sz w:val="32"/>
          <w:szCs w:val="32"/>
          <w:lang w:eastAsia="zh-CN"/>
        </w:rPr>
        <w:t>运行</w:t>
      </w:r>
      <w:r>
        <w:rPr>
          <w:rFonts w:hint="eastAsia" w:ascii="仿宋" w:hAnsi="仿宋" w:eastAsia="仿宋" w:cs="仿宋"/>
          <w:sz w:val="32"/>
          <w:szCs w:val="32"/>
        </w:rPr>
        <w:t>，</w:t>
      </w:r>
      <w:r>
        <w:rPr>
          <w:rFonts w:hint="eastAsia" w:ascii="仿宋" w:hAnsi="仿宋" w:eastAsia="仿宋" w:cs="仿宋"/>
          <w:sz w:val="32"/>
          <w:szCs w:val="32"/>
          <w:lang w:eastAsia="zh-CN"/>
        </w:rPr>
        <w:t>主动</w:t>
      </w:r>
      <w:r>
        <w:rPr>
          <w:rFonts w:hint="eastAsia" w:ascii="仿宋" w:hAnsi="仿宋" w:eastAsia="仿宋" w:cs="仿宋"/>
          <w:sz w:val="32"/>
          <w:szCs w:val="32"/>
        </w:rPr>
        <w:t>成为行业的</w:t>
      </w:r>
      <w:r>
        <w:rPr>
          <w:rFonts w:hint="eastAsia" w:ascii="仿宋" w:hAnsi="仿宋" w:eastAsia="仿宋" w:cs="仿宋"/>
          <w:sz w:val="32"/>
          <w:szCs w:val="32"/>
          <w:lang w:eastAsia="zh-CN"/>
        </w:rPr>
        <w:t>引领者和推动者</w:t>
      </w:r>
      <w:r>
        <w:rPr>
          <w:rFonts w:hint="eastAsia" w:ascii="仿宋" w:hAnsi="仿宋" w:eastAsia="仿宋" w:cs="仿宋"/>
          <w:sz w:val="32"/>
          <w:szCs w:val="32"/>
        </w:rPr>
        <w:t>，促进行业</w:t>
      </w:r>
      <w:bookmarkEnd w:id="65"/>
      <w:r>
        <w:rPr>
          <w:rFonts w:hint="eastAsia" w:ascii="仿宋" w:hAnsi="仿宋" w:eastAsia="仿宋" w:cs="仿宋"/>
          <w:sz w:val="32"/>
          <w:szCs w:val="32"/>
          <w:lang w:eastAsia="zh-CN"/>
        </w:rPr>
        <w:t>规范、健康发展</w:t>
      </w:r>
      <w:r>
        <w:rPr>
          <w:rFonts w:hint="eastAsia" w:ascii="仿宋" w:hAnsi="仿宋" w:eastAsia="仿宋" w:cs="仿宋"/>
          <w:sz w:val="32"/>
          <w:szCs w:val="32"/>
        </w:rPr>
        <w:t>。</w:t>
      </w:r>
    </w:p>
    <w:p>
      <w:pPr>
        <w:spacing w:line="620" w:lineRule="exact"/>
        <w:ind w:firstLine="643" w:firstLineChars="200"/>
        <w:outlineLvl w:val="1"/>
        <w:rPr>
          <w:rFonts w:ascii="楷体" w:hAnsi="楷体" w:eastAsia="楷体" w:cs="楷体"/>
          <w:b/>
          <w:bCs/>
          <w:sz w:val="32"/>
          <w:szCs w:val="32"/>
        </w:rPr>
      </w:pPr>
      <w:bookmarkStart w:id="66" w:name="_Toc6007"/>
      <w:r>
        <w:rPr>
          <w:rFonts w:hint="eastAsia" w:ascii="楷体" w:hAnsi="楷体" w:eastAsia="楷体" w:cs="楷体"/>
          <w:b/>
          <w:bCs/>
          <w:sz w:val="32"/>
          <w:szCs w:val="32"/>
        </w:rPr>
        <w:t>（三）新冠肺炎疫情防控工作进入常态化</w:t>
      </w:r>
      <w:bookmarkEnd w:id="66"/>
    </w:p>
    <w:p>
      <w:pPr>
        <w:spacing w:line="620" w:lineRule="exact"/>
        <w:ind w:firstLine="640" w:firstLineChars="200"/>
        <w:rPr>
          <w:rFonts w:ascii="仿宋" w:hAnsi="仿宋" w:eastAsia="仿宋" w:cs="仿宋"/>
          <w:sz w:val="32"/>
          <w:szCs w:val="32"/>
        </w:rPr>
      </w:pPr>
      <w:r>
        <w:rPr>
          <w:rFonts w:hint="eastAsia" w:ascii="仿宋" w:hAnsi="仿宋" w:eastAsia="仿宋"/>
          <w:sz w:val="32"/>
          <w:szCs w:val="32"/>
        </w:rPr>
        <w:t>今年初以来发生的新冠肺炎疫情是我国面临的最严峻的挑战，对我国经济和社会生活带来了巨大影响。为打好新冠肺炎疫情防控阻击战，协会认真贯彻落实党中央、国务院的决策部署，按照四川省委省政府、省住建厅、省民政厅和省住建厅社会组织联合党委的统一指挥安排，做好协会新冠肺炎疫情防控工作，协调各会员单位防控疫情，巩固防控战果，抓紧抓实抓细疫情防控，防疫工作取得了成绩。但是</w:t>
      </w:r>
      <w:r>
        <w:rPr>
          <w:rFonts w:hint="eastAsia" w:ascii="仿宋" w:hAnsi="仿宋" w:eastAsia="仿宋"/>
          <w:sz w:val="32"/>
          <w:szCs w:val="32"/>
          <w:lang w:eastAsia="zh-CN"/>
        </w:rPr>
        <w:t>，</w:t>
      </w:r>
      <w:r>
        <w:rPr>
          <w:rFonts w:hint="eastAsia" w:ascii="仿宋" w:hAnsi="仿宋" w:eastAsia="仿宋"/>
          <w:sz w:val="32"/>
          <w:szCs w:val="32"/>
        </w:rPr>
        <w:t>新冠肺炎疫情还在世界范围内继续蔓延。防止疫情反弹和防止外部输入，仍是我们今后一段时期的艰巨任务，我们一定要在党中央、国务院、省委省政府、省住建厅、省民政厅和省住建厅社会组织联合党委的领导下，将新冠肺炎疫情防控工作常态化，为确保人民群众生</w:t>
      </w:r>
      <w:r>
        <w:rPr>
          <w:rFonts w:hint="eastAsia" w:ascii="仿宋" w:hAnsi="仿宋" w:eastAsia="仿宋" w:cs="仿宋"/>
          <w:sz w:val="32"/>
          <w:szCs w:val="32"/>
        </w:rPr>
        <w:t>命安全和健康，为经济社会持续全面恢复，</w:t>
      </w:r>
      <w:r>
        <w:rPr>
          <w:rFonts w:hint="eastAsia" w:ascii="仿宋" w:hAnsi="仿宋" w:eastAsia="仿宋"/>
          <w:sz w:val="32"/>
          <w:szCs w:val="32"/>
        </w:rPr>
        <w:t>为取得抗疫的最后胜利做出我们应有贡献</w:t>
      </w:r>
      <w:r>
        <w:rPr>
          <w:rFonts w:hint="eastAsia" w:ascii="仿宋" w:hAnsi="仿宋" w:eastAsia="仿宋" w:cs="仿宋"/>
          <w:sz w:val="32"/>
          <w:szCs w:val="32"/>
        </w:rPr>
        <w:t>。</w:t>
      </w:r>
    </w:p>
    <w:p>
      <w:pPr>
        <w:ind w:firstLine="640" w:firstLineChars="200"/>
        <w:outlineLvl w:val="0"/>
        <w:rPr>
          <w:rFonts w:ascii="黑体" w:hAnsi="黑体" w:eastAsia="黑体" w:cs="黑体"/>
          <w:kern w:val="44"/>
          <w:sz w:val="32"/>
        </w:rPr>
      </w:pPr>
      <w:bookmarkStart w:id="67" w:name="_Toc1623"/>
      <w:r>
        <w:rPr>
          <w:rFonts w:hint="eastAsia" w:ascii="黑体" w:hAnsi="黑体" w:eastAsia="黑体" w:cs="黑体"/>
          <w:kern w:val="44"/>
          <w:sz w:val="32"/>
        </w:rPr>
        <w:t>三、主要工作任务</w:t>
      </w:r>
      <w:bookmarkEnd w:id="67"/>
    </w:p>
    <w:bookmarkEnd w:id="61"/>
    <w:bookmarkEnd w:id="62"/>
    <w:bookmarkEnd w:id="63"/>
    <w:p>
      <w:pPr>
        <w:ind w:firstLine="640" w:firstLineChars="200"/>
        <w:rPr>
          <w:rFonts w:hint="eastAsia" w:ascii="仿宋" w:hAnsi="仿宋" w:eastAsia="仿宋" w:cs="仿宋"/>
          <w:b/>
          <w:bCs/>
          <w:sz w:val="32"/>
          <w:szCs w:val="32"/>
        </w:rPr>
      </w:pPr>
      <w:bookmarkStart w:id="68" w:name="_Hlk47425258"/>
      <w:r>
        <w:rPr>
          <w:rFonts w:hint="eastAsia" w:ascii="仿宋" w:hAnsi="仿宋" w:eastAsia="仿宋" w:cs="仿宋"/>
          <w:sz w:val="32"/>
          <w:szCs w:val="32"/>
        </w:rPr>
        <w:t>2020年是我</w:t>
      </w:r>
      <w:r>
        <w:rPr>
          <w:rFonts w:hint="eastAsia" w:ascii="仿宋" w:hAnsi="仿宋" w:eastAsia="仿宋" w:cs="仿宋"/>
          <w:color w:val="auto"/>
          <w:sz w:val="32"/>
          <w:szCs w:val="32"/>
          <w:lang w:val="en-US" w:eastAsia="zh-CN"/>
        </w:rPr>
        <w:t>国全面建成小康社会的制胜之年，是消除最后贫困人口的决战之年，是十三五规划的收官之年，也是实现第一个百年宏伟目标的关键之年。协会各部门、专业分会、办事处要毫不放松常态化疫情防控，抓紧做好各</w:t>
      </w:r>
      <w:r>
        <w:rPr>
          <w:rFonts w:hint="eastAsia" w:ascii="仿宋" w:hAnsi="仿宋" w:eastAsia="仿宋" w:cs="仿宋"/>
          <w:sz w:val="32"/>
          <w:szCs w:val="32"/>
        </w:rPr>
        <w:t>项工作。</w:t>
      </w:r>
    </w:p>
    <w:p>
      <w:pPr>
        <w:ind w:firstLine="643" w:firstLineChars="200"/>
        <w:outlineLvl w:val="1"/>
        <w:rPr>
          <w:rFonts w:ascii="仿宋" w:hAnsi="仿宋" w:eastAsia="仿宋" w:cs="仿宋"/>
          <w:sz w:val="32"/>
          <w:szCs w:val="32"/>
        </w:rPr>
      </w:pPr>
      <w:bookmarkStart w:id="69" w:name="_Toc48737011"/>
      <w:bookmarkStart w:id="70" w:name="_Toc23363"/>
      <w:bookmarkStart w:id="71" w:name="_Toc46500221"/>
      <w:r>
        <w:rPr>
          <w:rFonts w:hint="eastAsia" w:ascii="仿宋" w:hAnsi="仿宋" w:eastAsia="仿宋" w:cs="仿宋"/>
          <w:b/>
          <w:sz w:val="32"/>
          <w:szCs w:val="32"/>
        </w:rPr>
        <w:t>1.全面做好脱钩工作</w:t>
      </w:r>
      <w:bookmarkEnd w:id="69"/>
      <w:r>
        <w:rPr>
          <w:rFonts w:hint="eastAsia" w:ascii="仿宋" w:hAnsi="仿宋" w:eastAsia="仿宋" w:cs="仿宋"/>
          <w:b/>
          <w:sz w:val="32"/>
          <w:szCs w:val="32"/>
        </w:rPr>
        <w:t>。</w:t>
      </w:r>
      <w:r>
        <w:rPr>
          <w:rFonts w:hint="eastAsia" w:ascii="仿宋" w:hAnsi="仿宋" w:eastAsia="仿宋" w:cs="仿宋"/>
          <w:sz w:val="32"/>
          <w:szCs w:val="32"/>
        </w:rPr>
        <w:t>实行行业协会商会与行政机关脱钩，是党中央、国务院推进全面深化改革作出的一项重大决策部署。协会将严格按照政府相关文件要求，在协会脱钩工作领导小组的带领下，研究协会脱钩后的运作特点及需关注的问题，根据协会脱钩工作方案，落实脱钩各项工作责任人、时间节点，全面深化做好脱钩改革工作，不断探索协会发展模式、经营模式和管理模式。</w:t>
      </w:r>
      <w:bookmarkEnd w:id="70"/>
    </w:p>
    <w:p>
      <w:pPr>
        <w:ind w:firstLine="643" w:firstLineChars="200"/>
        <w:outlineLvl w:val="1"/>
        <w:rPr>
          <w:rFonts w:ascii="仿宋" w:hAnsi="仿宋" w:eastAsia="仿宋" w:cs="仿宋"/>
          <w:sz w:val="32"/>
          <w:szCs w:val="32"/>
        </w:rPr>
      </w:pPr>
      <w:bookmarkStart w:id="72" w:name="_Toc48737012"/>
      <w:bookmarkStart w:id="73" w:name="_Toc32617"/>
      <w:r>
        <w:rPr>
          <w:rFonts w:hint="eastAsia" w:ascii="仿宋" w:hAnsi="仿宋" w:eastAsia="仿宋" w:cs="仿宋"/>
          <w:b/>
          <w:sz w:val="32"/>
          <w:szCs w:val="32"/>
        </w:rPr>
        <w:t>2.重视“两个平台”建设</w:t>
      </w:r>
      <w:bookmarkEnd w:id="72"/>
      <w:r>
        <w:rPr>
          <w:rFonts w:hint="eastAsia" w:ascii="仿宋" w:hAnsi="仿宋" w:eastAsia="仿宋" w:cs="仿宋"/>
          <w:b/>
          <w:sz w:val="32"/>
          <w:szCs w:val="32"/>
        </w:rPr>
        <w:t>。</w:t>
      </w:r>
      <w:r>
        <w:rPr>
          <w:rFonts w:hint="eastAsia" w:ascii="仿宋" w:hAnsi="仿宋" w:eastAsia="仿宋" w:cs="仿宋"/>
          <w:sz w:val="32"/>
          <w:szCs w:val="32"/>
        </w:rPr>
        <w:t>为深入贯彻落实国家、四川省关于建筑业转型升级高质量发展的一系列政策，整合行业资源，促进市场自导，激发市场活力，完善市场机制，协会联合产业上下游企业、设计院、科研院所、高校等，依托</w:t>
      </w:r>
      <w:r>
        <w:rPr>
          <w:rFonts w:hint="eastAsia" w:ascii="仿宋" w:hAnsi="仿宋" w:eastAsia="仿宋" w:cs="仿宋"/>
          <w:sz w:val="32"/>
          <w:szCs w:val="32"/>
          <w:lang w:val="zh-CN"/>
        </w:rPr>
        <w:t>四川省装配式建筑产业技术研究院、四川省装配式建筑产业联盟，进一步推动协会“</w:t>
      </w:r>
      <w:r>
        <w:rPr>
          <w:rFonts w:hint="eastAsia" w:ascii="仿宋" w:hAnsi="仿宋" w:eastAsia="仿宋" w:cs="仿宋"/>
          <w:sz w:val="32"/>
          <w:szCs w:val="32"/>
        </w:rPr>
        <w:t>两个平台”建设。</w:t>
      </w:r>
      <w:bookmarkEnd w:id="73"/>
    </w:p>
    <w:p>
      <w:pPr>
        <w:ind w:firstLine="643" w:firstLineChars="200"/>
        <w:rPr>
          <w:rFonts w:ascii="仿宋" w:hAnsi="仿宋" w:eastAsia="仿宋" w:cs="仿宋"/>
          <w:sz w:val="32"/>
          <w:szCs w:val="32"/>
        </w:rPr>
      </w:pPr>
      <w:r>
        <w:rPr>
          <w:rFonts w:hint="eastAsia" w:ascii="仿宋" w:hAnsi="仿宋" w:eastAsia="仿宋" w:cs="仿宋"/>
          <w:b/>
          <w:bCs/>
          <w:sz w:val="32"/>
          <w:szCs w:val="32"/>
        </w:rPr>
        <w:t>一是加强“</w:t>
      </w:r>
      <w:r>
        <w:rPr>
          <w:rFonts w:hint="eastAsia" w:ascii="仿宋" w:hAnsi="仿宋" w:eastAsia="仿宋" w:cs="仿宋"/>
          <w:b/>
          <w:bCs/>
          <w:sz w:val="32"/>
          <w:szCs w:val="32"/>
          <w:lang w:val="zh-CN"/>
        </w:rPr>
        <w:t>四川省装配式建筑产业技术研究院（以下简称产业技术研究院）</w:t>
      </w:r>
      <w:r>
        <w:rPr>
          <w:rFonts w:hint="eastAsia" w:ascii="仿宋" w:hAnsi="仿宋" w:eastAsia="仿宋" w:cs="仿宋"/>
          <w:b/>
          <w:bCs/>
          <w:sz w:val="32"/>
          <w:szCs w:val="32"/>
        </w:rPr>
        <w:t>”</w:t>
      </w:r>
      <w:r>
        <w:rPr>
          <w:rFonts w:hint="eastAsia" w:ascii="仿宋" w:hAnsi="仿宋" w:eastAsia="仿宋" w:cs="仿宋"/>
          <w:b/>
          <w:bCs/>
          <w:sz w:val="32"/>
          <w:szCs w:val="32"/>
          <w:lang w:val="zh-CN"/>
        </w:rPr>
        <w:t>产、学、研创新平台</w:t>
      </w:r>
      <w:r>
        <w:rPr>
          <w:rFonts w:hint="eastAsia" w:ascii="仿宋" w:hAnsi="仿宋" w:eastAsia="仿宋" w:cs="仿宋"/>
          <w:b/>
          <w:bCs/>
          <w:sz w:val="32"/>
          <w:szCs w:val="32"/>
        </w:rPr>
        <w:t>建设。</w:t>
      </w:r>
      <w:r>
        <w:rPr>
          <w:rFonts w:hint="eastAsia" w:ascii="仿宋" w:hAnsi="仿宋" w:eastAsia="仿宋" w:cs="仿宋"/>
          <w:sz w:val="32"/>
          <w:szCs w:val="32"/>
          <w:lang w:val="zh-CN"/>
        </w:rPr>
        <w:t>产业技术研究院</w:t>
      </w:r>
      <w:r>
        <w:rPr>
          <w:rFonts w:hint="eastAsia" w:ascii="仿宋" w:hAnsi="仿宋" w:eastAsia="仿宋" w:cs="仿宋"/>
          <w:sz w:val="32"/>
          <w:szCs w:val="32"/>
        </w:rPr>
        <w:t>围绕装配式建筑行业发展共性及关键问题，开展技术研究工作，主要包括科研课题、成果转化项目、咨询服务项目、人才培养项目等四类项目。为进一步提升科学研究成果应用转化，解决会员单位技术问题，协会结合当前装配式建筑发展情况，拟陆续成立8个研发中心，分别是</w:t>
      </w:r>
      <w:r>
        <w:rPr>
          <w:rFonts w:hint="eastAsia" w:ascii="仿宋" w:hAnsi="仿宋" w:eastAsia="仿宋" w:cs="仿宋"/>
          <w:color w:val="auto"/>
          <w:sz w:val="32"/>
          <w:szCs w:val="32"/>
        </w:rPr>
        <w:t>建筑新材料研发</w:t>
      </w:r>
      <w:r>
        <w:rPr>
          <w:rFonts w:hint="eastAsia" w:ascii="仿宋" w:hAnsi="仿宋" w:eastAsia="仿宋" w:cs="仿宋"/>
          <w:color w:val="auto"/>
          <w:sz w:val="32"/>
          <w:szCs w:val="32"/>
          <w:lang w:eastAsia="zh-CN"/>
        </w:rPr>
        <w:t>应用</w:t>
      </w:r>
      <w:r>
        <w:rPr>
          <w:rFonts w:hint="eastAsia" w:ascii="仿宋" w:hAnsi="仿宋" w:eastAsia="仿宋" w:cs="仿宋"/>
          <w:color w:val="auto"/>
          <w:sz w:val="32"/>
          <w:szCs w:val="32"/>
        </w:rPr>
        <w:t>中心、建筑工程耐候钢研发应用中心、桥梁钢结构技术研</w:t>
      </w:r>
      <w:r>
        <w:rPr>
          <w:rFonts w:hint="eastAsia" w:ascii="仿宋" w:hAnsi="仿宋" w:eastAsia="仿宋" w:cs="仿宋"/>
          <w:color w:val="auto"/>
          <w:sz w:val="32"/>
          <w:szCs w:val="32"/>
          <w:lang w:eastAsia="zh-CN"/>
        </w:rPr>
        <w:t>发应用</w:t>
      </w:r>
      <w:r>
        <w:rPr>
          <w:rFonts w:hint="eastAsia" w:ascii="仿宋" w:hAnsi="仿宋" w:eastAsia="仿宋" w:cs="仿宋"/>
          <w:color w:val="auto"/>
          <w:sz w:val="32"/>
          <w:szCs w:val="32"/>
        </w:rPr>
        <w:t>中心、</w:t>
      </w:r>
      <w:r>
        <w:rPr>
          <w:rFonts w:hint="eastAsia" w:ascii="仿宋" w:hAnsi="仿宋" w:eastAsia="仿宋" w:cs="仿宋"/>
          <w:color w:val="auto"/>
          <w:sz w:val="32"/>
          <w:szCs w:val="32"/>
          <w:lang w:eastAsia="zh-CN"/>
        </w:rPr>
        <w:t>建筑</w:t>
      </w:r>
      <w:r>
        <w:rPr>
          <w:rFonts w:hint="eastAsia" w:ascii="仿宋" w:hAnsi="仿宋" w:eastAsia="仿宋" w:cs="仿宋"/>
          <w:color w:val="auto"/>
          <w:sz w:val="32"/>
          <w:szCs w:val="32"/>
        </w:rPr>
        <w:t>幕墙密封胶研究发</w:t>
      </w:r>
      <w:r>
        <w:rPr>
          <w:rFonts w:hint="eastAsia" w:ascii="仿宋" w:hAnsi="仿宋" w:eastAsia="仿宋" w:cs="仿宋"/>
          <w:color w:val="auto"/>
          <w:sz w:val="32"/>
          <w:szCs w:val="32"/>
          <w:lang w:eastAsia="zh-CN"/>
        </w:rPr>
        <w:t>应用</w:t>
      </w:r>
      <w:r>
        <w:rPr>
          <w:rFonts w:hint="eastAsia" w:ascii="仿宋" w:hAnsi="仿宋" w:eastAsia="仿宋" w:cs="仿宋"/>
          <w:color w:val="auto"/>
          <w:sz w:val="32"/>
          <w:szCs w:val="32"/>
        </w:rPr>
        <w:t>中心、特种焊接材料研发</w:t>
      </w:r>
      <w:r>
        <w:rPr>
          <w:rFonts w:hint="eastAsia" w:ascii="仿宋" w:hAnsi="仿宋" w:eastAsia="仿宋" w:cs="仿宋"/>
          <w:color w:val="auto"/>
          <w:sz w:val="32"/>
          <w:szCs w:val="32"/>
          <w:lang w:eastAsia="zh-CN"/>
        </w:rPr>
        <w:t>应用</w:t>
      </w:r>
      <w:r>
        <w:rPr>
          <w:rFonts w:hint="eastAsia" w:ascii="仿宋" w:hAnsi="仿宋" w:eastAsia="仿宋" w:cs="仿宋"/>
          <w:color w:val="auto"/>
          <w:sz w:val="32"/>
          <w:szCs w:val="32"/>
        </w:rPr>
        <w:t>中心、</w:t>
      </w:r>
      <w:r>
        <w:rPr>
          <w:rFonts w:hint="eastAsia" w:ascii="仿宋" w:hAnsi="仿宋" w:eastAsia="仿宋" w:cs="仿宋"/>
          <w:color w:val="auto"/>
          <w:sz w:val="32"/>
          <w:szCs w:val="32"/>
          <w:lang w:eastAsia="zh-CN"/>
        </w:rPr>
        <w:t>装配式</w:t>
      </w:r>
      <w:r>
        <w:rPr>
          <w:rFonts w:hint="eastAsia" w:ascii="仿宋" w:hAnsi="仿宋" w:eastAsia="仿宋" w:cs="仿宋"/>
          <w:color w:val="auto"/>
          <w:sz w:val="32"/>
          <w:szCs w:val="32"/>
        </w:rPr>
        <w:t>钢结构</w:t>
      </w:r>
      <w:r>
        <w:rPr>
          <w:rFonts w:hint="eastAsia" w:ascii="仿宋" w:hAnsi="仿宋" w:eastAsia="仿宋" w:cs="仿宋"/>
          <w:color w:val="auto"/>
          <w:sz w:val="32"/>
          <w:szCs w:val="32"/>
          <w:lang w:eastAsia="zh-CN"/>
        </w:rPr>
        <w:t>住宅研发应用</w:t>
      </w:r>
      <w:r>
        <w:rPr>
          <w:rFonts w:hint="eastAsia" w:ascii="仿宋" w:hAnsi="仿宋" w:eastAsia="仿宋" w:cs="仿宋"/>
          <w:color w:val="auto"/>
          <w:sz w:val="32"/>
          <w:szCs w:val="32"/>
        </w:rPr>
        <w:t>中心、建筑工业化工程技术研</w:t>
      </w:r>
      <w:r>
        <w:rPr>
          <w:rFonts w:hint="eastAsia" w:ascii="仿宋" w:hAnsi="仿宋" w:eastAsia="仿宋" w:cs="仿宋"/>
          <w:color w:val="auto"/>
          <w:sz w:val="32"/>
          <w:szCs w:val="32"/>
          <w:lang w:eastAsia="zh-CN"/>
        </w:rPr>
        <w:t>发应用</w:t>
      </w:r>
      <w:r>
        <w:rPr>
          <w:rFonts w:hint="eastAsia" w:ascii="仿宋" w:hAnsi="仿宋" w:eastAsia="仿宋" w:cs="仿宋"/>
          <w:color w:val="auto"/>
          <w:sz w:val="32"/>
          <w:szCs w:val="32"/>
        </w:rPr>
        <w:t>中心、建筑节能与建筑绿色工程技术研</w:t>
      </w:r>
      <w:r>
        <w:rPr>
          <w:rFonts w:hint="eastAsia" w:ascii="仿宋" w:hAnsi="仿宋" w:eastAsia="仿宋" w:cs="仿宋"/>
          <w:color w:val="auto"/>
          <w:sz w:val="32"/>
          <w:szCs w:val="32"/>
          <w:lang w:eastAsia="zh-CN"/>
        </w:rPr>
        <w:t>发应用</w:t>
      </w:r>
      <w:r>
        <w:rPr>
          <w:rFonts w:hint="eastAsia" w:ascii="仿宋" w:hAnsi="仿宋" w:eastAsia="仿宋" w:cs="仿宋"/>
          <w:color w:val="auto"/>
          <w:sz w:val="32"/>
          <w:szCs w:val="32"/>
        </w:rPr>
        <w:t>中心。目前，已成立建筑新材料研发中心、建筑工程耐候钢研发应用中心。应用中心建成后，将针</w:t>
      </w:r>
      <w:r>
        <w:rPr>
          <w:rFonts w:hint="eastAsia" w:ascii="仿宋" w:hAnsi="仿宋" w:eastAsia="仿宋" w:cs="仿宋"/>
          <w:sz w:val="32"/>
          <w:szCs w:val="32"/>
        </w:rPr>
        <w:t>对各自相关的科研课题、成果转化、咨询服务及人才培训等方面开展具体工作，解决会员单位技术问题，转化应用科研院所、高校科研成果，为装配式建筑发展专业人才培训提供专项服务，有助于促进会员单位整体竞争力，完善市场机制，激活市场活力，同时，有利于提升协会服务质量和行业影响力，提高行业管理水平和业务能力，促进四川省装配式建筑进一步发展。</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二是推动</w:t>
      </w:r>
      <w:r>
        <w:rPr>
          <w:rFonts w:hint="eastAsia" w:ascii="仿宋" w:hAnsi="仿宋" w:eastAsia="仿宋" w:cs="仿宋"/>
          <w:b/>
          <w:bCs/>
          <w:sz w:val="32"/>
          <w:szCs w:val="32"/>
          <w:lang w:val="zh-CN"/>
        </w:rPr>
        <w:t>“四川省装配式建筑产业联盟（以下简称产业联盟）”企业生产经营平台</w:t>
      </w:r>
      <w:r>
        <w:rPr>
          <w:rFonts w:hint="eastAsia" w:ascii="仿宋" w:hAnsi="仿宋" w:eastAsia="仿宋" w:cs="仿宋"/>
          <w:b/>
          <w:bCs/>
          <w:sz w:val="32"/>
          <w:szCs w:val="32"/>
        </w:rPr>
        <w:t>建设。</w:t>
      </w:r>
      <w:r>
        <w:rPr>
          <w:rFonts w:hint="eastAsia" w:ascii="仿宋" w:hAnsi="仿宋" w:eastAsia="仿宋" w:cs="仿宋"/>
          <w:sz w:val="32"/>
          <w:szCs w:val="32"/>
          <w:lang w:val="zh-CN"/>
        </w:rPr>
        <w:t>产业联盟</w:t>
      </w:r>
      <w:r>
        <w:rPr>
          <w:rFonts w:hint="eastAsia" w:ascii="仿宋" w:hAnsi="仿宋" w:eastAsia="仿宋" w:cs="仿宋"/>
          <w:sz w:val="32"/>
          <w:szCs w:val="32"/>
        </w:rPr>
        <w:t>以国家产业政策为导向，在省住建厅及省经信厅的指导下，以协会为依托，发挥协会在政府与企业间的桥梁纽带作用，以联盟企业为主体，充分发挥龙头骨干企业的引领带头作用，整合行业产业链优势资源，攻克解决</w:t>
      </w:r>
      <w:r>
        <w:rPr>
          <w:rFonts w:hint="eastAsia" w:ascii="仿宋" w:hAnsi="仿宋" w:eastAsia="仿宋" w:cs="仿宋"/>
          <w:sz w:val="32"/>
          <w:szCs w:val="32"/>
          <w:lang w:eastAsia="zh-CN"/>
        </w:rPr>
        <w:t>行业</w:t>
      </w:r>
      <w:r>
        <w:rPr>
          <w:rFonts w:hint="eastAsia" w:ascii="仿宋" w:hAnsi="仿宋" w:eastAsia="仿宋" w:cs="仿宋"/>
          <w:sz w:val="32"/>
          <w:szCs w:val="32"/>
        </w:rPr>
        <w:t>产业发展的关键性问题，形成具有示范引领的产业链、产业集群，构建现代产业体系</w:t>
      </w:r>
      <w:r>
        <w:rPr>
          <w:rFonts w:hint="eastAsia" w:ascii="仿宋" w:hAnsi="仿宋" w:eastAsia="仿宋" w:cs="仿宋"/>
          <w:sz w:val="32"/>
          <w:szCs w:val="32"/>
          <w:lang w:eastAsia="zh-CN"/>
        </w:rPr>
        <w:t>，</w:t>
      </w:r>
      <w:r>
        <w:rPr>
          <w:rFonts w:hint="eastAsia" w:ascii="仿宋" w:hAnsi="仿宋" w:eastAsia="仿宋" w:cs="仿宋"/>
          <w:sz w:val="32"/>
          <w:szCs w:val="32"/>
        </w:rPr>
        <w:t>是推动我省装配式建筑产业转型升级的重要举措。</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产业联盟</w:t>
      </w:r>
      <w:r>
        <w:rPr>
          <w:rFonts w:hint="eastAsia" w:ascii="仿宋" w:hAnsi="仿宋" w:eastAsia="仿宋" w:cs="仿宋"/>
          <w:sz w:val="32"/>
          <w:szCs w:val="32"/>
          <w:lang w:eastAsia="zh-CN"/>
        </w:rPr>
        <w:t>计划成立联盟管理委员会、联盟管理办公室和联盟专业委员会，从产品技术标准、产业链合作、市场与政策三方面开展工作</w:t>
      </w:r>
      <w:r>
        <w:rPr>
          <w:rFonts w:hint="eastAsia" w:ascii="仿宋" w:hAnsi="仿宋" w:eastAsia="仿宋" w:cs="仿宋"/>
          <w:sz w:val="32"/>
          <w:szCs w:val="32"/>
        </w:rPr>
        <w:t>。为进一步推动产业联盟生产经营平台的共享，发挥产业联盟的引导作用，提升共享经营理念，协会将于近期举办四川省装配式建筑产业联盟启动大会暨四川省装配式建筑发展论坛，届时将</w:t>
      </w:r>
      <w:r>
        <w:rPr>
          <w:rFonts w:hint="eastAsia" w:ascii="仿宋" w:hAnsi="仿宋" w:eastAsia="仿宋" w:cs="仿宋"/>
          <w:sz w:val="32"/>
          <w:szCs w:val="32"/>
          <w:lang w:eastAsia="zh-CN"/>
        </w:rPr>
        <w:t>邀请</w:t>
      </w:r>
      <w:r>
        <w:rPr>
          <w:rFonts w:hint="eastAsia" w:ascii="仿宋" w:hAnsi="仿宋" w:eastAsia="仿宋" w:cs="仿宋"/>
          <w:sz w:val="32"/>
          <w:szCs w:val="32"/>
        </w:rPr>
        <w:t>产业链上下游企业、设计院所、政府领导、知名专家等人员齐聚一堂，共商装配式建筑发展。</w:t>
      </w:r>
      <w:bookmarkStart w:id="74" w:name="_Toc28915"/>
    </w:p>
    <w:p>
      <w:pPr>
        <w:ind w:firstLine="643" w:firstLineChars="200"/>
        <w:rPr>
          <w:rFonts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开展</w:t>
      </w:r>
      <w:r>
        <w:rPr>
          <w:rFonts w:hint="eastAsia" w:ascii="仿宋" w:hAnsi="仿宋" w:eastAsia="仿宋" w:cs="仿宋"/>
          <w:b/>
          <w:sz w:val="32"/>
          <w:szCs w:val="32"/>
        </w:rPr>
        <w:t>装配式建筑人才培训。</w:t>
      </w:r>
      <w:r>
        <w:rPr>
          <w:rFonts w:hint="eastAsia" w:ascii="仿宋" w:hAnsi="仿宋" w:eastAsia="仿宋" w:cs="仿宋"/>
          <w:sz w:val="32"/>
          <w:szCs w:val="32"/>
        </w:rPr>
        <w:t>由装配式人才培训部牵头开展协会装配式建筑人才培训工作。</w:t>
      </w:r>
      <w:r>
        <w:rPr>
          <w:rFonts w:hint="eastAsia" w:ascii="仿宋" w:hAnsi="仿宋" w:eastAsia="仿宋" w:cs="仿宋"/>
          <w:b/>
          <w:bCs/>
          <w:sz w:val="32"/>
          <w:szCs w:val="32"/>
        </w:rPr>
        <w:t>一是搭建培训组织架构。</w:t>
      </w:r>
      <w:r>
        <w:rPr>
          <w:rFonts w:hint="eastAsia" w:ascii="仿宋" w:hAnsi="仿宋" w:eastAsia="仿宋" w:cs="仿宋"/>
          <w:sz w:val="32"/>
          <w:szCs w:val="32"/>
        </w:rPr>
        <w:t>建立和完善人才培训工作委员会、教材编审委员会、教育培训分会的运行管理。明确工作目标、业务和要求，保障协会人才培训培养工作高效运行，发挥行业管理作用。</w:t>
      </w:r>
      <w:r>
        <w:rPr>
          <w:rFonts w:hint="eastAsia" w:ascii="仿宋" w:hAnsi="仿宋" w:eastAsia="仿宋" w:cs="仿宋"/>
          <w:b/>
          <w:bCs/>
          <w:sz w:val="32"/>
          <w:szCs w:val="32"/>
        </w:rPr>
        <w:t>二是完善培训制度建设。</w:t>
      </w:r>
      <w:r>
        <w:rPr>
          <w:rFonts w:hint="eastAsia" w:ascii="仿宋" w:hAnsi="仿宋" w:eastAsia="仿宋" w:cs="仿宋"/>
          <w:sz w:val="32"/>
          <w:szCs w:val="32"/>
        </w:rPr>
        <w:t>制定《装配式建筑培训机构管理办法》《装配式建筑实训基地管理办法》《人才培训工作运行管理办法》《教材编审委员会管理办法》等一系列制度。</w:t>
      </w:r>
      <w:r>
        <w:rPr>
          <w:rFonts w:hint="eastAsia" w:ascii="仿宋" w:hAnsi="仿宋" w:eastAsia="仿宋" w:cs="仿宋"/>
          <w:b/>
          <w:bCs/>
          <w:sz w:val="32"/>
          <w:szCs w:val="32"/>
          <w:lang w:eastAsia="zh-CN"/>
        </w:rPr>
        <w:t>三是</w:t>
      </w:r>
      <w:r>
        <w:rPr>
          <w:rFonts w:hint="eastAsia" w:ascii="仿宋" w:hAnsi="仿宋" w:eastAsia="仿宋" w:cs="仿宋"/>
          <w:b w:val="0"/>
          <w:bCs w:val="0"/>
          <w:sz w:val="32"/>
          <w:szCs w:val="32"/>
          <w:lang w:eastAsia="zh-CN"/>
        </w:rPr>
        <w:t>推进实训基地建设和职业技能标准编制。积极推进实训基地建设和职业技能标准编制工作，丰富和完善装配</w:t>
      </w:r>
      <w:r>
        <w:rPr>
          <w:rFonts w:hint="eastAsia" w:ascii="仿宋" w:hAnsi="仿宋" w:eastAsia="仿宋" w:cs="仿宋"/>
          <w:sz w:val="32"/>
          <w:szCs w:val="32"/>
          <w:lang w:eastAsia="zh-CN"/>
        </w:rPr>
        <w:t>式建筑人才培训体系。</w:t>
      </w:r>
      <w:r>
        <w:rPr>
          <w:rFonts w:hint="eastAsia" w:ascii="仿宋" w:hAnsi="仿宋" w:eastAsia="仿宋" w:cs="仿宋"/>
          <w:b/>
          <w:bCs/>
          <w:sz w:val="32"/>
          <w:szCs w:val="32"/>
          <w:lang w:eastAsia="zh-CN"/>
        </w:rPr>
        <w:t>四</w:t>
      </w:r>
      <w:r>
        <w:rPr>
          <w:rFonts w:hint="eastAsia" w:ascii="仿宋" w:hAnsi="仿宋" w:eastAsia="仿宋" w:cs="仿宋"/>
          <w:b/>
          <w:bCs/>
          <w:sz w:val="32"/>
          <w:szCs w:val="32"/>
        </w:rPr>
        <w:t>是</w:t>
      </w:r>
      <w:r>
        <w:rPr>
          <w:rFonts w:hint="eastAsia" w:ascii="仿宋" w:hAnsi="仿宋" w:eastAsia="仿宋" w:cs="仿宋"/>
          <w:b/>
          <w:bCs/>
          <w:sz w:val="32"/>
          <w:szCs w:val="32"/>
          <w:lang w:eastAsia="zh-CN"/>
        </w:rPr>
        <w:t>开发和拓展</w:t>
      </w:r>
      <w:r>
        <w:rPr>
          <w:rFonts w:hint="eastAsia" w:ascii="仿宋" w:hAnsi="仿宋" w:eastAsia="仿宋" w:cs="仿宋"/>
          <w:b/>
          <w:bCs/>
          <w:sz w:val="32"/>
          <w:szCs w:val="32"/>
        </w:rPr>
        <w:t>培训范围。</w:t>
      </w:r>
      <w:r>
        <w:rPr>
          <w:rFonts w:hint="eastAsia" w:ascii="仿宋" w:hAnsi="仿宋" w:eastAsia="仿宋" w:cs="仿宋"/>
          <w:sz w:val="32"/>
          <w:szCs w:val="32"/>
        </w:rPr>
        <w:t>分析行业培训现状，满足行业培训需求，结合从业人员专业能力不足的问题，</w:t>
      </w:r>
      <w:r>
        <w:rPr>
          <w:rFonts w:ascii="仿宋" w:hAnsi="仿宋" w:eastAsia="仿宋" w:cs="仿宋"/>
          <w:sz w:val="32"/>
          <w:szCs w:val="32"/>
        </w:rPr>
        <w:t>优先在高校师资培训</w:t>
      </w:r>
      <w:r>
        <w:rPr>
          <w:rFonts w:hint="eastAsia" w:ascii="仿宋" w:hAnsi="仿宋" w:eastAsia="仿宋" w:cs="仿宋"/>
          <w:sz w:val="32"/>
          <w:szCs w:val="32"/>
        </w:rPr>
        <w:t>、高级管理人员培训、产业工人培训、项目管理人员培训、</w:t>
      </w:r>
      <w:r>
        <w:rPr>
          <w:rFonts w:ascii="仿宋" w:hAnsi="仿宋" w:eastAsia="仿宋" w:cs="仿宋"/>
          <w:sz w:val="32"/>
          <w:szCs w:val="32"/>
        </w:rPr>
        <w:t>设计人员培训等方面开展专业能力培训</w:t>
      </w:r>
      <w:r>
        <w:rPr>
          <w:rFonts w:hint="eastAsia" w:ascii="仿宋" w:hAnsi="仿宋" w:eastAsia="仿宋" w:cs="仿宋"/>
          <w:sz w:val="32"/>
          <w:szCs w:val="32"/>
        </w:rPr>
        <w:t>，提升从业人员能力水平。</w:t>
      </w:r>
      <w:r>
        <w:rPr>
          <w:rFonts w:hint="eastAsia" w:ascii="仿宋" w:hAnsi="仿宋" w:eastAsia="仿宋" w:cs="仿宋"/>
          <w:b/>
          <w:bCs/>
          <w:sz w:val="32"/>
          <w:szCs w:val="32"/>
          <w:lang w:eastAsia="zh-CN"/>
        </w:rPr>
        <w:t>五</w:t>
      </w:r>
      <w:r>
        <w:rPr>
          <w:rFonts w:hint="eastAsia" w:ascii="仿宋" w:hAnsi="仿宋" w:eastAsia="仿宋" w:cs="仿宋"/>
          <w:b/>
          <w:bCs/>
          <w:sz w:val="32"/>
          <w:szCs w:val="32"/>
        </w:rPr>
        <w:t>是着力加强外部连接。</w:t>
      </w:r>
      <w:r>
        <w:rPr>
          <w:rFonts w:hint="eastAsia" w:ascii="仿宋" w:hAnsi="仿宋" w:eastAsia="仿宋" w:cs="仿宋"/>
          <w:sz w:val="32"/>
          <w:szCs w:val="32"/>
        </w:rPr>
        <w:t>加强与住建厅、人社厅、各市州主管部门对接培训业务，联合政府主管部门、各市州行业协会、实训基地、大中专院校，统筹管理全省装配式建筑人才培训资格入库，推进各地装配式建筑人才培训建设。</w:t>
      </w:r>
      <w:bookmarkEnd w:id="74"/>
      <w:bookmarkStart w:id="75" w:name="_Toc48737014"/>
    </w:p>
    <w:p>
      <w:pPr>
        <w:ind w:firstLine="643" w:firstLineChars="200"/>
        <w:outlineLvl w:val="1"/>
        <w:rPr>
          <w:rFonts w:ascii="仿宋" w:hAnsi="仿宋" w:eastAsia="仿宋" w:cs="仿宋"/>
          <w:sz w:val="32"/>
          <w:szCs w:val="32"/>
        </w:rPr>
      </w:pPr>
      <w:bookmarkStart w:id="76" w:name="_Toc23951"/>
      <w:r>
        <w:rPr>
          <w:rFonts w:hint="eastAsia" w:ascii="仿宋" w:hAnsi="仿宋" w:eastAsia="仿宋" w:cs="仿宋"/>
          <w:b/>
          <w:bCs/>
          <w:sz w:val="32"/>
          <w:szCs w:val="32"/>
        </w:rPr>
        <w:t>4.抓</w:t>
      </w:r>
      <w:r>
        <w:rPr>
          <w:rFonts w:hint="eastAsia" w:ascii="仿宋" w:hAnsi="仿宋" w:eastAsia="仿宋" w:cs="仿宋"/>
          <w:b/>
          <w:sz w:val="32"/>
          <w:szCs w:val="32"/>
        </w:rPr>
        <w:t>好评优、评估、竞赛</w:t>
      </w:r>
      <w:bookmarkEnd w:id="75"/>
      <w:r>
        <w:rPr>
          <w:rFonts w:hint="eastAsia" w:ascii="仿宋" w:hAnsi="仿宋" w:eastAsia="仿宋" w:cs="仿宋"/>
          <w:b/>
          <w:sz w:val="32"/>
          <w:szCs w:val="32"/>
        </w:rPr>
        <w:t>工作。</w:t>
      </w:r>
      <w:r>
        <w:rPr>
          <w:rFonts w:hint="eastAsia" w:ascii="仿宋" w:hAnsi="仿宋" w:eastAsia="仿宋" w:cs="仿宋"/>
          <w:b/>
          <w:bCs/>
          <w:sz w:val="32"/>
          <w:szCs w:val="32"/>
        </w:rPr>
        <w:t>一是加强评优管理，规范行业发展。</w:t>
      </w:r>
      <w:r>
        <w:rPr>
          <w:rFonts w:hint="eastAsia" w:ascii="仿宋" w:hAnsi="仿宋" w:eastAsia="仿宋" w:cs="仿宋"/>
          <w:sz w:val="32"/>
          <w:szCs w:val="32"/>
        </w:rPr>
        <w:t>为鼓励会员单位积极提高经济效益和综合实力，规范行业发展，增强协会自身管理水平，制定《四川省装配式建筑行业推荐评优管理办法》。</w:t>
      </w:r>
      <w:r>
        <w:rPr>
          <w:rFonts w:hint="eastAsia" w:ascii="仿宋" w:hAnsi="仿宋" w:eastAsia="仿宋" w:cs="仿宋"/>
          <w:sz w:val="32"/>
          <w:szCs w:val="32"/>
          <w:lang w:eastAsia="zh-CN"/>
        </w:rPr>
        <w:t>继续跟进</w:t>
      </w:r>
      <w:r>
        <w:rPr>
          <w:rFonts w:hint="eastAsia" w:ascii="仿宋" w:hAnsi="仿宋" w:eastAsia="仿宋"/>
          <w:sz w:val="32"/>
          <w:szCs w:val="32"/>
          <w:lang w:val="en-US" w:eastAsia="zh-CN"/>
        </w:rPr>
        <w:t>四川省优质钢结构工程奖（“蜀钢杯”）申报工作。</w:t>
      </w:r>
      <w:r>
        <w:rPr>
          <w:rFonts w:hint="eastAsia" w:ascii="仿宋" w:hAnsi="仿宋" w:eastAsia="仿宋" w:cs="仿宋"/>
          <w:b/>
          <w:bCs/>
          <w:sz w:val="32"/>
          <w:szCs w:val="32"/>
        </w:rPr>
        <w:t>二是持续开展评估工作，做好项目示范引领。</w:t>
      </w:r>
      <w:r>
        <w:rPr>
          <w:rFonts w:hint="eastAsia" w:ascii="仿宋" w:hAnsi="仿宋" w:eastAsia="仿宋" w:cs="仿宋"/>
          <w:sz w:val="32"/>
          <w:szCs w:val="32"/>
        </w:rPr>
        <w:t>为充分激活市场活力，完善市场机制，持续开展装配式建筑部品部件生产质量保障能力评估工作，积极引导优质装配式建筑项目做好引领示范作用，协同配合各会员单位积极申报国家级住宅产业化生产示范基地、绿色建材评价标识等工作。</w:t>
      </w:r>
      <w:r>
        <w:rPr>
          <w:rFonts w:hint="eastAsia" w:ascii="仿宋" w:hAnsi="仿宋" w:eastAsia="仿宋" w:cs="仿宋"/>
          <w:b/>
          <w:bCs/>
          <w:sz w:val="32"/>
          <w:szCs w:val="32"/>
        </w:rPr>
        <w:t>三是举办职业技能大赛，选拔优秀技能人才。</w:t>
      </w:r>
      <w:r>
        <w:rPr>
          <w:rFonts w:hint="eastAsia" w:ascii="仿宋" w:hAnsi="仿宋" w:eastAsia="仿宋" w:cs="仿宋"/>
          <w:b w:val="0"/>
          <w:bCs w:val="0"/>
          <w:sz w:val="32"/>
          <w:szCs w:val="32"/>
          <w:lang w:eastAsia="zh-CN"/>
        </w:rPr>
        <w:t>为加快</w:t>
      </w:r>
      <w:r>
        <w:rPr>
          <w:rFonts w:hint="eastAsia" w:ascii="仿宋" w:hAnsi="仿宋" w:eastAsia="仿宋" w:cs="仿宋"/>
          <w:b w:val="0"/>
          <w:bCs w:val="0"/>
          <w:sz w:val="32"/>
          <w:szCs w:val="32"/>
        </w:rPr>
        <w:t>推动成渝地区双城经济圈</w:t>
      </w:r>
      <w:r>
        <w:rPr>
          <w:rFonts w:hint="eastAsia" w:ascii="仿宋" w:hAnsi="仿宋" w:eastAsia="仿宋" w:cs="仿宋"/>
          <w:b w:val="0"/>
          <w:bCs w:val="0"/>
          <w:sz w:val="32"/>
          <w:szCs w:val="32"/>
          <w:lang w:eastAsia="zh-CN"/>
        </w:rPr>
        <w:t>建设</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加强川渝住房城乡建设领域交流合作，共同培育建筑产业工人队伍，协会要</w:t>
      </w:r>
      <w:r>
        <w:rPr>
          <w:rFonts w:hint="eastAsia" w:ascii="仿宋" w:hAnsi="仿宋" w:eastAsia="仿宋" w:cs="仿宋"/>
          <w:b w:val="0"/>
          <w:bCs w:val="0"/>
          <w:sz w:val="32"/>
          <w:szCs w:val="32"/>
        </w:rPr>
        <w:t>密切与重庆地区政府、企业及行业协会联</w:t>
      </w:r>
      <w:r>
        <w:rPr>
          <w:rFonts w:hint="eastAsia" w:ascii="仿宋" w:hAnsi="仿宋" w:eastAsia="仿宋" w:cs="仿宋"/>
          <w:b w:val="0"/>
          <w:bCs w:val="0"/>
          <w:color w:val="auto"/>
          <w:sz w:val="32"/>
          <w:szCs w:val="32"/>
        </w:rPr>
        <w:t>系，全</w:t>
      </w:r>
      <w:r>
        <w:rPr>
          <w:rFonts w:hint="eastAsia" w:ascii="仿宋" w:hAnsi="仿宋" w:eastAsia="仿宋" w:cs="仿宋"/>
          <w:color w:val="auto"/>
          <w:sz w:val="32"/>
          <w:szCs w:val="32"/>
        </w:rPr>
        <w:t>力组织做好“川渝住建杯”住房城乡建设行业职业技能竞赛暨四川技能大赛—2020年川建工职业技能竞赛工作，</w:t>
      </w:r>
      <w:r>
        <w:rPr>
          <w:rFonts w:hint="eastAsia" w:ascii="仿宋" w:hAnsi="仿宋" w:eastAsia="仿宋" w:cs="仿宋"/>
          <w:b w:val="0"/>
          <w:bCs w:val="0"/>
          <w:color w:val="auto"/>
          <w:sz w:val="32"/>
          <w:szCs w:val="32"/>
        </w:rPr>
        <w:t>在装配式建筑领域达成互通、合作和优势互补，实现建筑领域新跨越</w:t>
      </w:r>
      <w:r>
        <w:rPr>
          <w:rFonts w:hint="eastAsia" w:ascii="仿宋" w:hAnsi="仿宋" w:eastAsia="仿宋" w:cs="仿宋"/>
          <w:b w:val="0"/>
          <w:bCs w:val="0"/>
          <w:sz w:val="32"/>
          <w:szCs w:val="32"/>
        </w:rPr>
        <w:t>。</w:t>
      </w:r>
      <w:r>
        <w:rPr>
          <w:rFonts w:hint="eastAsia" w:ascii="仿宋" w:hAnsi="仿宋" w:eastAsia="仿宋" w:cs="仿宋"/>
          <w:sz w:val="32"/>
          <w:szCs w:val="32"/>
        </w:rPr>
        <w:t>积极对接国家职业技能竞赛，承办国赛四川预赛，为国家技能竞赛和世界技能竞赛储备和选拔优秀人才。</w:t>
      </w:r>
      <w:bookmarkEnd w:id="76"/>
      <w:bookmarkStart w:id="77" w:name="_Toc48737016"/>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仿宋" w:hAnsi="仿宋" w:eastAsia="仿宋" w:cs="仿宋"/>
          <w:sz w:val="32"/>
          <w:szCs w:val="32"/>
        </w:rPr>
      </w:pPr>
      <w:bookmarkStart w:id="78" w:name="_Toc642"/>
      <w:r>
        <w:rPr>
          <w:rFonts w:hint="eastAsia" w:ascii="仿宋" w:hAnsi="仿宋" w:eastAsia="仿宋" w:cs="仿宋"/>
          <w:b/>
          <w:sz w:val="32"/>
          <w:szCs w:val="32"/>
        </w:rPr>
        <w:t>5.加强</w:t>
      </w:r>
      <w:r>
        <w:rPr>
          <w:rFonts w:hint="eastAsia" w:ascii="仿宋" w:hAnsi="仿宋" w:eastAsia="仿宋" w:cs="仿宋"/>
          <w:b/>
          <w:sz w:val="32"/>
          <w:szCs w:val="32"/>
          <w:lang w:eastAsia="zh-CN"/>
        </w:rPr>
        <w:t>政府</w:t>
      </w:r>
      <w:r>
        <w:rPr>
          <w:rFonts w:hint="eastAsia" w:ascii="仿宋" w:hAnsi="仿宋" w:eastAsia="仿宋" w:cs="仿宋"/>
          <w:b/>
          <w:sz w:val="32"/>
          <w:szCs w:val="32"/>
        </w:rPr>
        <w:t>政策宣贯</w:t>
      </w:r>
      <w:bookmarkEnd w:id="77"/>
      <w:r>
        <w:rPr>
          <w:rFonts w:hint="eastAsia" w:ascii="仿宋" w:hAnsi="仿宋" w:eastAsia="仿宋" w:cs="仿宋"/>
          <w:b/>
          <w:sz w:val="32"/>
          <w:szCs w:val="32"/>
        </w:rPr>
        <w:t>。</w:t>
      </w:r>
      <w:bookmarkStart w:id="79" w:name="_Hlk48828927"/>
      <w:r>
        <w:rPr>
          <w:rFonts w:hint="eastAsia" w:ascii="仿宋" w:hAnsi="仿宋" w:eastAsia="仿宋" w:cs="仿宋"/>
          <w:b/>
          <w:bCs/>
          <w:sz w:val="32"/>
          <w:szCs w:val="32"/>
        </w:rPr>
        <w:t>一是</w:t>
      </w:r>
      <w:r>
        <w:rPr>
          <w:rFonts w:hint="eastAsia" w:ascii="仿宋" w:hAnsi="仿宋" w:eastAsia="仿宋" w:cs="仿宋"/>
          <w:b/>
          <w:bCs/>
          <w:sz w:val="32"/>
          <w:szCs w:val="32"/>
          <w:lang w:eastAsia="zh-CN"/>
        </w:rPr>
        <w:t>持续开展</w:t>
      </w:r>
      <w:r>
        <w:rPr>
          <w:rFonts w:hint="eastAsia" w:ascii="仿宋" w:hAnsi="仿宋" w:eastAsia="仿宋" w:cs="仿宋"/>
          <w:b/>
          <w:bCs/>
          <w:sz w:val="32"/>
          <w:szCs w:val="32"/>
        </w:rPr>
        <w:t>“四川省装配式建筑大讲堂”</w:t>
      </w:r>
      <w:bookmarkEnd w:id="79"/>
      <w:r>
        <w:rPr>
          <w:rFonts w:hint="eastAsia" w:ascii="仿宋" w:hAnsi="仿宋" w:eastAsia="仿宋" w:cs="仿宋"/>
          <w:b/>
          <w:bCs/>
          <w:sz w:val="32"/>
          <w:szCs w:val="32"/>
        </w:rPr>
        <w:t>。</w:t>
      </w:r>
      <w:r>
        <w:rPr>
          <w:rFonts w:hint="eastAsia" w:ascii="仿宋" w:hAnsi="仿宋" w:eastAsia="仿宋" w:cs="仿宋"/>
          <w:sz w:val="32"/>
          <w:szCs w:val="32"/>
        </w:rPr>
        <w:t>邀请政府部门的权威人士、协会专家顾问，及时对政策文件进行解读，宣贯装配式建筑相关政策，讲授</w:t>
      </w:r>
      <w:r>
        <w:rPr>
          <w:rFonts w:hint="eastAsia" w:ascii="仿宋" w:hAnsi="仿宋" w:eastAsia="仿宋" w:cs="仿宋"/>
          <w:sz w:val="32"/>
          <w:szCs w:val="32"/>
          <w:lang w:eastAsia="zh-CN"/>
        </w:rPr>
        <w:t>和推广装配式建筑先进科学技术、管理经验</w:t>
      </w:r>
      <w:r>
        <w:rPr>
          <w:rFonts w:hint="eastAsia" w:ascii="仿宋" w:hAnsi="仿宋" w:eastAsia="仿宋" w:cs="仿宋"/>
          <w:sz w:val="32"/>
          <w:szCs w:val="32"/>
        </w:rPr>
        <w:t>等课程。</w:t>
      </w:r>
      <w:r>
        <w:rPr>
          <w:rFonts w:hint="eastAsia" w:ascii="仿宋" w:hAnsi="仿宋" w:eastAsia="仿宋" w:cs="仿宋"/>
          <w:b/>
          <w:bCs/>
          <w:sz w:val="32"/>
          <w:szCs w:val="32"/>
        </w:rPr>
        <w:t>二是召开四川省装配式建筑发展论坛。</w:t>
      </w:r>
      <w:r>
        <w:rPr>
          <w:rFonts w:hint="eastAsia" w:ascii="仿宋" w:hAnsi="仿宋" w:eastAsia="仿宋" w:cs="仿宋"/>
          <w:sz w:val="32"/>
          <w:szCs w:val="32"/>
        </w:rPr>
        <w:t>今年9月，协会将举办四川省装配式建筑产业联盟启动大会暨四川省装配式建筑发展论坛，邀请住建部住宅产业化促进中心、四川省住房和城乡建设厅、四川省经济和信息化厅领导及联盟成员单位代表，以产业链条为纽带，共谋行业发展。</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ascii="仿宋" w:hAnsi="仿宋" w:eastAsia="仿宋" w:cs="仿宋"/>
          <w:color w:val="auto"/>
          <w:sz w:val="32"/>
          <w:szCs w:val="32"/>
        </w:rPr>
      </w:pPr>
      <w:r>
        <w:rPr>
          <w:rFonts w:hint="eastAsia" w:ascii="仿宋" w:hAnsi="仿宋" w:eastAsia="仿宋" w:cs="仿宋"/>
          <w:b/>
          <w:bCs/>
          <w:sz w:val="32"/>
          <w:szCs w:val="32"/>
          <w:lang w:val="en-US" w:eastAsia="zh-CN"/>
        </w:rPr>
        <w:t>6.促进合作交流。一是</w:t>
      </w:r>
      <w:r>
        <w:rPr>
          <w:rFonts w:hint="eastAsia" w:ascii="仿宋" w:hAnsi="仿宋" w:eastAsia="仿宋" w:cs="仿宋"/>
          <w:b/>
          <w:bCs/>
          <w:sz w:val="32"/>
          <w:szCs w:val="32"/>
        </w:rPr>
        <w:t>积极参与政府项目。</w:t>
      </w:r>
      <w:r>
        <w:rPr>
          <w:rFonts w:hint="eastAsia" w:ascii="仿宋" w:hAnsi="仿宋" w:eastAsia="仿宋" w:cs="仿宋"/>
          <w:sz w:val="32"/>
          <w:szCs w:val="32"/>
        </w:rPr>
        <w:t>积极参与相关立法、公共政策、行业标准和行业数据统计等事务，充分发挥协会在行业指南、共性技术平台、第三方咨询评估等方面的作用，引导企业健康有序发展，促进产业提质增效升级。</w:t>
      </w:r>
      <w:r>
        <w:rPr>
          <w:rFonts w:hint="eastAsia" w:ascii="仿宋" w:hAnsi="仿宋" w:eastAsia="仿宋" w:cs="仿宋"/>
          <w:b/>
          <w:bCs/>
          <w:sz w:val="32"/>
          <w:szCs w:val="32"/>
          <w:lang w:eastAsia="zh-CN"/>
        </w:rPr>
        <w:t>二</w:t>
      </w:r>
      <w:r>
        <w:rPr>
          <w:rFonts w:hint="eastAsia" w:ascii="仿宋" w:hAnsi="仿宋" w:eastAsia="仿宋" w:cs="仿宋"/>
          <w:b/>
          <w:bCs/>
          <w:sz w:val="32"/>
          <w:szCs w:val="32"/>
        </w:rPr>
        <w:t>是与企业共同发展，合作共赢。</w:t>
      </w:r>
      <w:r>
        <w:rPr>
          <w:rFonts w:hint="eastAsia" w:ascii="仿宋" w:hAnsi="仿宋" w:eastAsia="仿宋" w:cs="仿宋"/>
          <w:sz w:val="32"/>
          <w:szCs w:val="32"/>
        </w:rPr>
        <w:t>主动与装配式建筑全产业链上的需求企业建立合作关系，不断为企业创造价值，赢得企业信任和支持，并实现企业反哺协会，促进双方共同发展，实现合作共赢。</w:t>
      </w:r>
      <w:r>
        <w:rPr>
          <w:rFonts w:hint="eastAsia" w:ascii="仿宋" w:hAnsi="仿宋" w:eastAsia="仿宋" w:cs="仿宋"/>
          <w:b/>
          <w:bCs/>
          <w:sz w:val="32"/>
          <w:szCs w:val="32"/>
          <w:lang w:eastAsia="zh-CN"/>
        </w:rPr>
        <w:t>三</w:t>
      </w:r>
      <w:r>
        <w:rPr>
          <w:rFonts w:hint="eastAsia" w:ascii="仿宋" w:hAnsi="仿宋" w:eastAsia="仿宋" w:cs="仿宋"/>
          <w:b/>
          <w:bCs/>
          <w:sz w:val="32"/>
          <w:szCs w:val="32"/>
        </w:rPr>
        <w:t>是开展专题交流推介活动。</w:t>
      </w:r>
      <w:r>
        <w:rPr>
          <w:rFonts w:hint="eastAsia" w:ascii="仿宋" w:hAnsi="仿宋" w:eastAsia="仿宋" w:cs="仿宋"/>
          <w:sz w:val="32"/>
          <w:szCs w:val="32"/>
        </w:rPr>
        <w:t>举办建筑业资质申报讲座、示范项目和生产基地参观、行业技术交流会、产品推介会、茶话会等不同形式的活动，为会员单位之间进行技术、管理、合作等交流提供平台和机会。</w:t>
      </w:r>
      <w:r>
        <w:rPr>
          <w:rFonts w:hint="eastAsia" w:ascii="仿宋" w:hAnsi="仿宋" w:eastAsia="仿宋" w:cs="仿宋"/>
          <w:b/>
          <w:bCs/>
          <w:sz w:val="32"/>
          <w:szCs w:val="32"/>
          <w:lang w:eastAsia="zh-CN"/>
        </w:rPr>
        <w:t>四</w:t>
      </w:r>
      <w:r>
        <w:rPr>
          <w:rFonts w:hint="eastAsia" w:ascii="仿宋" w:hAnsi="仿宋" w:eastAsia="仿宋" w:cs="仿宋"/>
          <w:b/>
          <w:bCs/>
          <w:sz w:val="32"/>
          <w:szCs w:val="32"/>
        </w:rPr>
        <w:t>是主动“走出去”参观学习。</w:t>
      </w:r>
      <w:r>
        <w:rPr>
          <w:rFonts w:hint="eastAsia" w:ascii="仿宋" w:hAnsi="仿宋" w:eastAsia="仿宋" w:cs="仿宋"/>
          <w:sz w:val="32"/>
          <w:szCs w:val="32"/>
        </w:rPr>
        <w:t>为进一步开拓视野、创新理念，协会下一阶段将前往重庆、上海、深圳等地区，借鉴省外装配式建筑行业的新技术、新经验，学习先进的企业管理、施工管理、生产技术、工艺、质量等生产经验。</w:t>
      </w:r>
      <w:r>
        <w:rPr>
          <w:rFonts w:hint="eastAsia" w:ascii="仿宋" w:hAnsi="仿宋" w:eastAsia="仿宋"/>
          <w:b/>
          <w:bCs/>
          <w:sz w:val="32"/>
          <w:szCs w:val="32"/>
          <w:lang w:eastAsia="zh-CN"/>
        </w:rPr>
        <w:t>五</w:t>
      </w:r>
      <w:r>
        <w:rPr>
          <w:rFonts w:hint="eastAsia" w:ascii="仿宋" w:hAnsi="仿宋" w:eastAsia="仿宋"/>
          <w:b/>
          <w:bCs/>
          <w:sz w:val="32"/>
          <w:szCs w:val="32"/>
        </w:rPr>
        <w:t>是加强与骨干企业、领军企业</w:t>
      </w:r>
      <w:r>
        <w:rPr>
          <w:rFonts w:hint="eastAsia" w:ascii="仿宋" w:hAnsi="仿宋" w:eastAsia="仿宋"/>
          <w:b/>
          <w:bCs/>
          <w:sz w:val="32"/>
          <w:szCs w:val="32"/>
          <w:lang w:eastAsia="zh-CN"/>
        </w:rPr>
        <w:t>的</w:t>
      </w:r>
      <w:r>
        <w:rPr>
          <w:rFonts w:hint="eastAsia" w:ascii="仿宋" w:hAnsi="仿宋" w:eastAsia="仿宋"/>
          <w:b/>
          <w:bCs/>
          <w:sz w:val="32"/>
          <w:szCs w:val="32"/>
        </w:rPr>
        <w:t>紧密联系</w:t>
      </w:r>
      <w:r>
        <w:rPr>
          <w:rFonts w:hint="eastAsia" w:ascii="仿宋" w:hAnsi="仿宋" w:eastAsia="仿宋"/>
          <w:sz w:val="32"/>
          <w:szCs w:val="32"/>
        </w:rPr>
        <w:t>。大力开发和发挥骨干企业、领军企业行业引领作用，</w:t>
      </w:r>
      <w:r>
        <w:rPr>
          <w:rFonts w:hint="eastAsia" w:ascii="仿宋" w:hAnsi="仿宋" w:eastAsia="仿宋" w:cs="仿宋"/>
          <w:sz w:val="32"/>
          <w:szCs w:val="32"/>
        </w:rPr>
        <w:t>充分利用产业技术研究院、产业联盟和专业分会，通过战略合作、咨询服务等合作形式，为需求企业开展科研</w:t>
      </w:r>
      <w:r>
        <w:rPr>
          <w:rFonts w:hint="eastAsia" w:ascii="仿宋" w:hAnsi="仿宋" w:eastAsia="仿宋" w:cs="仿宋"/>
          <w:color w:val="auto"/>
          <w:sz w:val="32"/>
          <w:szCs w:val="32"/>
        </w:rPr>
        <w:t>课题研究、标准规范编制、新技术推广、生产经营管理咨询等服务活动。</w:t>
      </w:r>
      <w:r>
        <w:rPr>
          <w:rFonts w:hint="eastAsia" w:ascii="仿宋" w:hAnsi="仿宋" w:eastAsia="仿宋" w:cs="仿宋"/>
          <w:b/>
          <w:bCs/>
          <w:color w:val="auto"/>
          <w:sz w:val="32"/>
          <w:szCs w:val="32"/>
          <w:lang w:eastAsia="zh-CN"/>
        </w:rPr>
        <w:t>六</w:t>
      </w:r>
      <w:r>
        <w:rPr>
          <w:rFonts w:hint="eastAsia" w:ascii="仿宋" w:hAnsi="仿宋" w:eastAsia="仿宋" w:cs="仿宋"/>
          <w:b/>
          <w:bCs/>
          <w:color w:val="auto"/>
          <w:sz w:val="32"/>
          <w:szCs w:val="32"/>
        </w:rPr>
        <w:t>是促进与上级协会、兄弟协会交流合作。</w:t>
      </w:r>
      <w:r>
        <w:rPr>
          <w:rFonts w:hint="eastAsia" w:ascii="仿宋" w:hAnsi="仿宋" w:eastAsia="仿宋" w:cs="仿宋"/>
          <w:color w:val="auto"/>
          <w:sz w:val="32"/>
          <w:szCs w:val="32"/>
        </w:rPr>
        <w:t>与省内省外有关装配式建筑方面的协会建立联系，形成合作、互助、分享的协作机制，实现资源共享，共同发展。</w:t>
      </w:r>
      <w:bookmarkEnd w:id="78"/>
    </w:p>
    <w:p>
      <w:pPr>
        <w:ind w:firstLine="643" w:firstLineChars="200"/>
        <w:outlineLvl w:val="1"/>
      </w:pPr>
      <w:bookmarkStart w:id="80" w:name="_Toc48737017"/>
      <w:bookmarkStart w:id="81" w:name="_Toc2055"/>
      <w:r>
        <w:rPr>
          <w:rFonts w:hint="eastAsia" w:ascii="仿宋" w:hAnsi="仿宋" w:eastAsia="仿宋" w:cs="仿宋"/>
          <w:b/>
          <w:sz w:val="32"/>
          <w:szCs w:val="32"/>
          <w:lang w:val="en-US" w:eastAsia="zh-CN"/>
        </w:rPr>
        <w:t>7</w:t>
      </w:r>
      <w:r>
        <w:rPr>
          <w:rFonts w:hint="eastAsia" w:ascii="仿宋" w:hAnsi="仿宋" w:eastAsia="仿宋" w:cs="仿宋"/>
          <w:b/>
          <w:sz w:val="32"/>
          <w:szCs w:val="32"/>
        </w:rPr>
        <w:t>.强化自身建设</w:t>
      </w:r>
      <w:bookmarkEnd w:id="80"/>
      <w:r>
        <w:rPr>
          <w:rFonts w:hint="eastAsia" w:ascii="仿宋" w:hAnsi="仿宋" w:eastAsia="仿宋" w:cs="仿宋"/>
          <w:b/>
          <w:sz w:val="32"/>
          <w:szCs w:val="32"/>
        </w:rPr>
        <w:t>。</w:t>
      </w:r>
      <w:r>
        <w:rPr>
          <w:rFonts w:hint="eastAsia" w:ascii="仿宋" w:hAnsi="仿宋" w:eastAsia="仿宋" w:cs="仿宋"/>
          <w:b/>
          <w:bCs/>
          <w:sz w:val="32"/>
          <w:szCs w:val="32"/>
        </w:rPr>
        <w:t>一是坚持党的全面领导。</w:t>
      </w:r>
      <w:r>
        <w:rPr>
          <w:rFonts w:hint="eastAsia" w:ascii="仿宋" w:hAnsi="仿宋" w:eastAsia="仿宋" w:cs="仿宋"/>
          <w:sz w:val="32"/>
          <w:szCs w:val="32"/>
        </w:rPr>
        <w:t>脱钩后，要继续坚持党的全面领导，确保党支部参与协会重大事项决策，充分发挥党支部在协会工作运行中的政治核心作用。</w:t>
      </w:r>
      <w:r>
        <w:rPr>
          <w:rFonts w:hint="eastAsia" w:ascii="仿宋" w:hAnsi="仿宋" w:eastAsia="仿宋" w:cs="仿宋"/>
          <w:b/>
          <w:bCs/>
          <w:sz w:val="32"/>
          <w:szCs w:val="32"/>
        </w:rPr>
        <w:t>二是优化协会组织机构。</w:t>
      </w:r>
      <w:r>
        <w:rPr>
          <w:rFonts w:hint="eastAsia" w:ascii="仿宋" w:hAnsi="仿宋" w:eastAsia="仿宋" w:cs="仿宋"/>
          <w:sz w:val="32"/>
          <w:szCs w:val="32"/>
        </w:rPr>
        <w:t>根据脱钩“五分离、五规范”改革要求，优化秘书处职能分工。加强联络点建设</w:t>
      </w:r>
      <w:r>
        <w:rPr>
          <w:rFonts w:hint="eastAsia" w:ascii="仿宋" w:hAnsi="仿宋" w:eastAsia="仿宋" w:cs="仿宋"/>
          <w:sz w:val="32"/>
          <w:szCs w:val="32"/>
          <w:lang w:eastAsia="zh-CN"/>
        </w:rPr>
        <w:t>，</w:t>
      </w:r>
      <w:r>
        <w:rPr>
          <w:rFonts w:hint="eastAsia" w:ascii="仿宋" w:hAnsi="仿宋" w:eastAsia="仿宋" w:cs="仿宋"/>
          <w:sz w:val="32"/>
          <w:szCs w:val="32"/>
        </w:rPr>
        <w:t>特别是在我省装配式建筑重点发展地区设置联络点，加强行业区域服务。</w:t>
      </w:r>
      <w:r>
        <w:rPr>
          <w:rFonts w:hint="eastAsia" w:ascii="仿宋" w:hAnsi="仿宋" w:eastAsia="仿宋" w:cs="仿宋"/>
          <w:b/>
          <w:bCs/>
          <w:sz w:val="32"/>
          <w:szCs w:val="32"/>
        </w:rPr>
        <w:t>三是完善管理制度。</w:t>
      </w:r>
      <w:r>
        <w:rPr>
          <w:rFonts w:hint="eastAsia" w:ascii="仿宋" w:hAnsi="仿宋" w:eastAsia="仿宋" w:cs="仿宋"/>
          <w:sz w:val="32"/>
          <w:szCs w:val="32"/>
        </w:rPr>
        <w:t>根据脱钩后的新形势、新要求，完善协会内部管理制度，全面加强风险管理、财务管理和人力资源管理，建立健全责任考核体系</w:t>
      </w:r>
      <w:bookmarkStart w:id="82" w:name="_Hlk48829583"/>
      <w:r>
        <w:rPr>
          <w:rFonts w:hint="eastAsia" w:ascii="仿宋" w:hAnsi="仿宋" w:eastAsia="仿宋" w:cs="仿宋"/>
          <w:sz w:val="32"/>
          <w:szCs w:val="32"/>
        </w:rPr>
        <w:t>。</w:t>
      </w:r>
      <w:r>
        <w:rPr>
          <w:rFonts w:hint="eastAsia" w:ascii="仿宋" w:hAnsi="仿宋" w:eastAsia="仿宋" w:cs="仿宋"/>
          <w:b/>
          <w:bCs/>
          <w:sz w:val="32"/>
          <w:szCs w:val="32"/>
        </w:rPr>
        <w:t>四是规范专业分会和专业委员会管理</w:t>
      </w:r>
      <w:bookmarkEnd w:id="82"/>
      <w:r>
        <w:rPr>
          <w:rFonts w:hint="eastAsia" w:ascii="仿宋" w:hAnsi="仿宋" w:eastAsia="仿宋" w:cs="仿宋"/>
          <w:sz w:val="32"/>
          <w:szCs w:val="32"/>
        </w:rPr>
        <w:t>。强化专业分会对本专业领域、会员的管理服务能力，分专业、分领域研究企业与行业实际情况，了解行业现状和会员企业的发展情况，进一步提升协会对会员的专业服务水平和效果</w:t>
      </w:r>
      <w:bookmarkStart w:id="83" w:name="_Hlk48721127"/>
      <w:bookmarkStart w:id="84" w:name="_Hlk48829641"/>
      <w:r>
        <w:rPr>
          <w:rFonts w:hint="eastAsia" w:ascii="仿宋" w:hAnsi="仿宋" w:eastAsia="仿宋" w:cs="仿宋"/>
          <w:sz w:val="32"/>
          <w:szCs w:val="32"/>
        </w:rPr>
        <w:t>。</w:t>
      </w:r>
      <w:r>
        <w:rPr>
          <w:rFonts w:hint="eastAsia" w:ascii="仿宋" w:hAnsi="仿宋" w:eastAsia="仿宋" w:cs="仿宋"/>
          <w:b/>
          <w:bCs/>
          <w:sz w:val="32"/>
          <w:szCs w:val="32"/>
        </w:rPr>
        <w:t>五是加强专家队伍治理</w:t>
      </w:r>
      <w:bookmarkEnd w:id="83"/>
      <w:r>
        <w:rPr>
          <w:rFonts w:hint="eastAsia" w:ascii="仿宋" w:hAnsi="仿宋" w:eastAsia="仿宋" w:cs="仿宋"/>
          <w:sz w:val="32"/>
          <w:szCs w:val="32"/>
        </w:rPr>
        <w:t>。完善《专家库管理办法》，吸纳热爱协会工作并积极参与协会工作、学识丰富的专家，建立畅通的交流渠道和工作机制，把专家力量变为协会力量，更好地为行业、企业提供指导、咨询、信息等智力服务支撑。</w:t>
      </w:r>
      <w:bookmarkEnd w:id="84"/>
      <w:r>
        <w:rPr>
          <w:rFonts w:hint="eastAsia" w:ascii="仿宋" w:hAnsi="仿宋" w:eastAsia="仿宋" w:cs="仿宋"/>
          <w:b/>
          <w:bCs/>
          <w:sz w:val="32"/>
          <w:szCs w:val="32"/>
        </w:rPr>
        <w:t>六是创新会员管理方式和发展方式</w:t>
      </w:r>
      <w:r>
        <w:rPr>
          <w:rFonts w:hint="eastAsia" w:ascii="仿宋" w:hAnsi="仿宋" w:eastAsia="仿宋" w:cs="仿宋"/>
          <w:sz w:val="32"/>
          <w:szCs w:val="32"/>
        </w:rPr>
        <w:t>。加强会员管理和联系，探索会员发展新途径，努力扩大会员规模。</w:t>
      </w:r>
      <w:bookmarkEnd w:id="81"/>
    </w:p>
    <w:bookmarkEnd w:id="68"/>
    <w:bookmarkEnd w:id="71"/>
    <w:p>
      <w:pPr>
        <w:ind w:firstLine="643" w:firstLineChars="200"/>
        <w:outlineLvl w:val="1"/>
        <w:rPr>
          <w:rFonts w:ascii="仿宋" w:hAnsi="仿宋" w:eastAsia="仿宋" w:cs="仿宋"/>
          <w:sz w:val="32"/>
          <w:szCs w:val="32"/>
        </w:rPr>
      </w:pPr>
      <w:bookmarkStart w:id="85" w:name="_Toc46500228"/>
      <w:bookmarkStart w:id="86" w:name="_Toc48737018"/>
      <w:bookmarkStart w:id="87" w:name="_Toc15434"/>
      <w:r>
        <w:rPr>
          <w:rFonts w:hint="eastAsia" w:ascii="仿宋" w:hAnsi="仿宋" w:eastAsia="仿宋" w:cs="仿宋"/>
          <w:b/>
          <w:sz w:val="32"/>
          <w:szCs w:val="32"/>
          <w:lang w:val="en-US" w:eastAsia="zh-CN"/>
        </w:rPr>
        <w:t>8</w:t>
      </w:r>
      <w:r>
        <w:rPr>
          <w:rFonts w:hint="eastAsia" w:ascii="仿宋" w:hAnsi="仿宋" w:eastAsia="仿宋" w:cs="仿宋"/>
          <w:b/>
          <w:sz w:val="32"/>
          <w:szCs w:val="32"/>
        </w:rPr>
        <w:t>.做好疫情防控工作</w:t>
      </w:r>
      <w:bookmarkEnd w:id="85"/>
      <w:bookmarkEnd w:id="86"/>
      <w:r>
        <w:rPr>
          <w:rFonts w:hint="eastAsia" w:ascii="仿宋" w:hAnsi="仿宋" w:eastAsia="仿宋" w:cs="仿宋"/>
          <w:b/>
          <w:sz w:val="32"/>
          <w:szCs w:val="32"/>
        </w:rPr>
        <w:t>。</w:t>
      </w:r>
      <w:r>
        <w:rPr>
          <w:rFonts w:hint="eastAsia" w:ascii="仿宋" w:hAnsi="仿宋" w:eastAsia="仿宋" w:cs="仿宋"/>
          <w:sz w:val="32"/>
          <w:szCs w:val="32"/>
        </w:rPr>
        <w:t>当前，国家的疫情防控工作已经从应急状态进入到常态化防控状态。我们要做好常态化防控工作措施，</w:t>
      </w:r>
      <w:r>
        <w:rPr>
          <w:rFonts w:hint="eastAsia" w:ascii="仿宋" w:hAnsi="仿宋" w:eastAsia="仿宋" w:cs="仿宋"/>
          <w:b/>
          <w:bCs/>
          <w:sz w:val="32"/>
          <w:szCs w:val="32"/>
        </w:rPr>
        <w:t>一是落实责任，使防控工作全面常态化。</w:t>
      </w:r>
      <w:r>
        <w:rPr>
          <w:rFonts w:hint="eastAsia" w:ascii="仿宋" w:hAnsi="仿宋" w:eastAsia="仿宋" w:cs="仿宋"/>
          <w:sz w:val="32"/>
          <w:szCs w:val="32"/>
        </w:rPr>
        <w:t>落实协会各部门、分支机构、办事处的主体责任和个人的自我防护责任，形成防控合力，促进防控工作常态化。</w:t>
      </w:r>
      <w:r>
        <w:rPr>
          <w:rFonts w:hint="eastAsia" w:ascii="仿宋" w:hAnsi="仿宋" w:eastAsia="仿宋" w:cs="仿宋"/>
          <w:b/>
          <w:bCs/>
          <w:sz w:val="32"/>
          <w:szCs w:val="32"/>
        </w:rPr>
        <w:t>二是预防为主，做好个人防护的常态化。</w:t>
      </w:r>
      <w:r>
        <w:rPr>
          <w:rFonts w:hint="eastAsia" w:ascii="仿宋" w:hAnsi="仿宋" w:eastAsia="仿宋" w:cs="仿宋"/>
          <w:sz w:val="32"/>
          <w:szCs w:val="32"/>
        </w:rPr>
        <w:t>戴口罩、勤洗手、常通风、一米线、公筷制、少聚餐，养成良好的卫生习惯和健康的行为方式。</w:t>
      </w:r>
      <w:bookmarkEnd w:id="87"/>
    </w:p>
    <w:p>
      <w:pPr>
        <w:spacing w:line="600" w:lineRule="exact"/>
        <w:ind w:firstLine="640" w:firstLineChars="200"/>
      </w:pPr>
      <w:r>
        <w:rPr>
          <w:rFonts w:hint="eastAsia" w:ascii="仿宋" w:hAnsi="仿宋" w:eastAsia="仿宋" w:cs="仿宋"/>
          <w:sz w:val="32"/>
          <w:szCs w:val="32"/>
        </w:rPr>
        <w:t>各会员单位，2020年协会工作任务艰巨、责任重大。面对外部复杂多变的形势和内部稳步发展的需求，我们要不忘初心、牢记使命，团结广大会员群众，迎难而上，锐意进取，努力完成全年目标任务，奋力推进四川建筑业高质量发展</w:t>
      </w:r>
      <w:bookmarkStart w:id="88" w:name="_GoBack"/>
      <w:bookmarkEnd w:id="88"/>
      <w:r>
        <w:rPr>
          <w:rFonts w:hint="eastAsia" w:ascii="仿宋" w:hAnsi="仿宋" w:eastAsia="仿宋" w:cs="仿宋"/>
          <w:sz w:val="32"/>
          <w:szCs w:val="32"/>
        </w:rPr>
        <w:t>！</w:t>
      </w:r>
    </w:p>
    <w:sectPr>
      <w:footerReference r:id="rId3" w:type="default"/>
      <w:pgSz w:w="11906" w:h="16838"/>
      <w:pgMar w:top="1440" w:right="1841"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9703042"/>
    </w:sdtPr>
    <w:sdtEndPr>
      <w:rPr>
        <w:rFonts w:ascii="仿宋" w:hAnsi="仿宋" w:eastAsia="仿宋"/>
        <w:sz w:val="28"/>
        <w:szCs w:val="28"/>
      </w:rPr>
    </w:sdtEndPr>
    <w:sdtContent>
      <w:p>
        <w:pPr>
          <w:pStyle w:val="8"/>
          <w:jc w:val="center"/>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21</w:t>
        </w:r>
        <w:r>
          <w:rPr>
            <w:rFonts w:ascii="仿宋" w:hAnsi="仿宋" w:eastAsia="仿宋"/>
            <w:sz w:val="28"/>
            <w:szCs w:val="28"/>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6621C"/>
    <w:rsid w:val="00000B61"/>
    <w:rsid w:val="00003CDE"/>
    <w:rsid w:val="0000407B"/>
    <w:rsid w:val="0000513F"/>
    <w:rsid w:val="00005536"/>
    <w:rsid w:val="00005A40"/>
    <w:rsid w:val="00011A25"/>
    <w:rsid w:val="000146A3"/>
    <w:rsid w:val="00014B53"/>
    <w:rsid w:val="0002124B"/>
    <w:rsid w:val="00022770"/>
    <w:rsid w:val="0002413E"/>
    <w:rsid w:val="0003078F"/>
    <w:rsid w:val="00030E3A"/>
    <w:rsid w:val="00033709"/>
    <w:rsid w:val="00033AA2"/>
    <w:rsid w:val="000357FF"/>
    <w:rsid w:val="00037BB9"/>
    <w:rsid w:val="000419B6"/>
    <w:rsid w:val="00043E24"/>
    <w:rsid w:val="000459F6"/>
    <w:rsid w:val="00045E72"/>
    <w:rsid w:val="000517B4"/>
    <w:rsid w:val="00052E9D"/>
    <w:rsid w:val="00056D10"/>
    <w:rsid w:val="0005708F"/>
    <w:rsid w:val="000603F0"/>
    <w:rsid w:val="000606BD"/>
    <w:rsid w:val="00060C3C"/>
    <w:rsid w:val="0006324B"/>
    <w:rsid w:val="00072F2E"/>
    <w:rsid w:val="00073799"/>
    <w:rsid w:val="00076133"/>
    <w:rsid w:val="00082678"/>
    <w:rsid w:val="000851C4"/>
    <w:rsid w:val="00086BE6"/>
    <w:rsid w:val="00092BDE"/>
    <w:rsid w:val="000933E5"/>
    <w:rsid w:val="000940B2"/>
    <w:rsid w:val="000947E0"/>
    <w:rsid w:val="0009527D"/>
    <w:rsid w:val="000A0A13"/>
    <w:rsid w:val="000A17A4"/>
    <w:rsid w:val="000A1817"/>
    <w:rsid w:val="000A3E81"/>
    <w:rsid w:val="000A3F40"/>
    <w:rsid w:val="000A4C91"/>
    <w:rsid w:val="000A6166"/>
    <w:rsid w:val="000B152A"/>
    <w:rsid w:val="000B23A3"/>
    <w:rsid w:val="000B316C"/>
    <w:rsid w:val="000B4AF6"/>
    <w:rsid w:val="000B6C7F"/>
    <w:rsid w:val="000C0F6C"/>
    <w:rsid w:val="000C16AB"/>
    <w:rsid w:val="000D109B"/>
    <w:rsid w:val="000D15AD"/>
    <w:rsid w:val="000D1738"/>
    <w:rsid w:val="000D56D2"/>
    <w:rsid w:val="000E0C8E"/>
    <w:rsid w:val="000F1160"/>
    <w:rsid w:val="000F23FD"/>
    <w:rsid w:val="000F328D"/>
    <w:rsid w:val="000F5A08"/>
    <w:rsid w:val="000F63FA"/>
    <w:rsid w:val="000F65E8"/>
    <w:rsid w:val="0010054E"/>
    <w:rsid w:val="001006CA"/>
    <w:rsid w:val="00101963"/>
    <w:rsid w:val="00104B88"/>
    <w:rsid w:val="00106BF6"/>
    <w:rsid w:val="001071DC"/>
    <w:rsid w:val="001079E6"/>
    <w:rsid w:val="0011074A"/>
    <w:rsid w:val="001138B3"/>
    <w:rsid w:val="00117E0A"/>
    <w:rsid w:val="00117E81"/>
    <w:rsid w:val="00122A4A"/>
    <w:rsid w:val="00124E70"/>
    <w:rsid w:val="00125D41"/>
    <w:rsid w:val="001309FE"/>
    <w:rsid w:val="0013637A"/>
    <w:rsid w:val="0015204A"/>
    <w:rsid w:val="001556C8"/>
    <w:rsid w:val="001572E6"/>
    <w:rsid w:val="00160011"/>
    <w:rsid w:val="0016036A"/>
    <w:rsid w:val="0016578E"/>
    <w:rsid w:val="00166486"/>
    <w:rsid w:val="00167980"/>
    <w:rsid w:val="0017055F"/>
    <w:rsid w:val="00171E0C"/>
    <w:rsid w:val="00171FC4"/>
    <w:rsid w:val="00174E86"/>
    <w:rsid w:val="001850F7"/>
    <w:rsid w:val="00191543"/>
    <w:rsid w:val="00191B5D"/>
    <w:rsid w:val="00192F89"/>
    <w:rsid w:val="0019520D"/>
    <w:rsid w:val="001954BA"/>
    <w:rsid w:val="00195A2C"/>
    <w:rsid w:val="00195E11"/>
    <w:rsid w:val="00196036"/>
    <w:rsid w:val="001961FD"/>
    <w:rsid w:val="00196D91"/>
    <w:rsid w:val="00197979"/>
    <w:rsid w:val="00197F68"/>
    <w:rsid w:val="001A4B20"/>
    <w:rsid w:val="001B453A"/>
    <w:rsid w:val="001B59D0"/>
    <w:rsid w:val="001C2AFA"/>
    <w:rsid w:val="001C2FFA"/>
    <w:rsid w:val="001C301F"/>
    <w:rsid w:val="001C4FB1"/>
    <w:rsid w:val="001C62EF"/>
    <w:rsid w:val="001C6E94"/>
    <w:rsid w:val="001C77F1"/>
    <w:rsid w:val="001D1274"/>
    <w:rsid w:val="001D35E0"/>
    <w:rsid w:val="001D3EE0"/>
    <w:rsid w:val="001D4592"/>
    <w:rsid w:val="001D5624"/>
    <w:rsid w:val="001D59CB"/>
    <w:rsid w:val="001E08B0"/>
    <w:rsid w:val="001E4C88"/>
    <w:rsid w:val="001E7DCE"/>
    <w:rsid w:val="001F69AB"/>
    <w:rsid w:val="00200C9F"/>
    <w:rsid w:val="002031D4"/>
    <w:rsid w:val="00203DB1"/>
    <w:rsid w:val="0021063D"/>
    <w:rsid w:val="00211F99"/>
    <w:rsid w:val="00215593"/>
    <w:rsid w:val="00215EEE"/>
    <w:rsid w:val="00220AB6"/>
    <w:rsid w:val="0022374A"/>
    <w:rsid w:val="00224EF6"/>
    <w:rsid w:val="00227829"/>
    <w:rsid w:val="002305B8"/>
    <w:rsid w:val="00231D03"/>
    <w:rsid w:val="00233725"/>
    <w:rsid w:val="00235B72"/>
    <w:rsid w:val="00240E69"/>
    <w:rsid w:val="00241995"/>
    <w:rsid w:val="002423A9"/>
    <w:rsid w:val="0024250F"/>
    <w:rsid w:val="00243F41"/>
    <w:rsid w:val="002440F2"/>
    <w:rsid w:val="00246B3E"/>
    <w:rsid w:val="002470BF"/>
    <w:rsid w:val="00247751"/>
    <w:rsid w:val="002512E1"/>
    <w:rsid w:val="00252DA7"/>
    <w:rsid w:val="00253E29"/>
    <w:rsid w:val="00254069"/>
    <w:rsid w:val="00254B84"/>
    <w:rsid w:val="00254C9C"/>
    <w:rsid w:val="0025559C"/>
    <w:rsid w:val="00256805"/>
    <w:rsid w:val="00256DEF"/>
    <w:rsid w:val="002576F5"/>
    <w:rsid w:val="00261403"/>
    <w:rsid w:val="00267D1B"/>
    <w:rsid w:val="002720B7"/>
    <w:rsid w:val="00276063"/>
    <w:rsid w:val="00276599"/>
    <w:rsid w:val="00276DC3"/>
    <w:rsid w:val="0028063B"/>
    <w:rsid w:val="00282387"/>
    <w:rsid w:val="00291005"/>
    <w:rsid w:val="002940F7"/>
    <w:rsid w:val="00294C41"/>
    <w:rsid w:val="00297D92"/>
    <w:rsid w:val="002A1189"/>
    <w:rsid w:val="002A2D0E"/>
    <w:rsid w:val="002A31FC"/>
    <w:rsid w:val="002A500D"/>
    <w:rsid w:val="002B2C9A"/>
    <w:rsid w:val="002B3721"/>
    <w:rsid w:val="002B3D38"/>
    <w:rsid w:val="002B5565"/>
    <w:rsid w:val="002B586A"/>
    <w:rsid w:val="002B5CF1"/>
    <w:rsid w:val="002B78E4"/>
    <w:rsid w:val="002C0D88"/>
    <w:rsid w:val="002C173C"/>
    <w:rsid w:val="002C298E"/>
    <w:rsid w:val="002C2E5A"/>
    <w:rsid w:val="002C34B0"/>
    <w:rsid w:val="002C40CD"/>
    <w:rsid w:val="002C4BDF"/>
    <w:rsid w:val="002C5203"/>
    <w:rsid w:val="002C5752"/>
    <w:rsid w:val="002D13EA"/>
    <w:rsid w:val="002D36FA"/>
    <w:rsid w:val="002D622A"/>
    <w:rsid w:val="002D6E51"/>
    <w:rsid w:val="002D709A"/>
    <w:rsid w:val="002D72DC"/>
    <w:rsid w:val="002E09EE"/>
    <w:rsid w:val="002E1AEB"/>
    <w:rsid w:val="002E5718"/>
    <w:rsid w:val="002E5A04"/>
    <w:rsid w:val="002E691E"/>
    <w:rsid w:val="002F46D6"/>
    <w:rsid w:val="002F61C3"/>
    <w:rsid w:val="002F75CF"/>
    <w:rsid w:val="0030228B"/>
    <w:rsid w:val="00303844"/>
    <w:rsid w:val="00303F2F"/>
    <w:rsid w:val="003059FB"/>
    <w:rsid w:val="0031128A"/>
    <w:rsid w:val="00313199"/>
    <w:rsid w:val="00314362"/>
    <w:rsid w:val="0031574F"/>
    <w:rsid w:val="00315FA8"/>
    <w:rsid w:val="00316AA2"/>
    <w:rsid w:val="003202D6"/>
    <w:rsid w:val="0032201A"/>
    <w:rsid w:val="003243BD"/>
    <w:rsid w:val="00324FBC"/>
    <w:rsid w:val="00325082"/>
    <w:rsid w:val="00331231"/>
    <w:rsid w:val="00340CE6"/>
    <w:rsid w:val="00340F3B"/>
    <w:rsid w:val="00345D96"/>
    <w:rsid w:val="00347BBE"/>
    <w:rsid w:val="00350785"/>
    <w:rsid w:val="00354629"/>
    <w:rsid w:val="00360B11"/>
    <w:rsid w:val="003610D4"/>
    <w:rsid w:val="0036184B"/>
    <w:rsid w:val="00362DF4"/>
    <w:rsid w:val="00367BF7"/>
    <w:rsid w:val="0037412C"/>
    <w:rsid w:val="00383514"/>
    <w:rsid w:val="0038539A"/>
    <w:rsid w:val="0038614B"/>
    <w:rsid w:val="0038773D"/>
    <w:rsid w:val="0039251A"/>
    <w:rsid w:val="00393073"/>
    <w:rsid w:val="00393E29"/>
    <w:rsid w:val="003954DF"/>
    <w:rsid w:val="00395D01"/>
    <w:rsid w:val="00396D8F"/>
    <w:rsid w:val="003A063A"/>
    <w:rsid w:val="003A378B"/>
    <w:rsid w:val="003A485A"/>
    <w:rsid w:val="003A4D52"/>
    <w:rsid w:val="003B3514"/>
    <w:rsid w:val="003B48B9"/>
    <w:rsid w:val="003B6E4C"/>
    <w:rsid w:val="003C65FD"/>
    <w:rsid w:val="003C66F3"/>
    <w:rsid w:val="003D00AC"/>
    <w:rsid w:val="003D0D37"/>
    <w:rsid w:val="003D2C45"/>
    <w:rsid w:val="003D6258"/>
    <w:rsid w:val="003D745A"/>
    <w:rsid w:val="003E2A7F"/>
    <w:rsid w:val="003E3F08"/>
    <w:rsid w:val="003E693E"/>
    <w:rsid w:val="003E722A"/>
    <w:rsid w:val="003F10B2"/>
    <w:rsid w:val="003F153C"/>
    <w:rsid w:val="003F1D6D"/>
    <w:rsid w:val="003F1E23"/>
    <w:rsid w:val="003F2BB2"/>
    <w:rsid w:val="003F6C21"/>
    <w:rsid w:val="003F722D"/>
    <w:rsid w:val="003F7A38"/>
    <w:rsid w:val="00401C43"/>
    <w:rsid w:val="0040303B"/>
    <w:rsid w:val="00406B4D"/>
    <w:rsid w:val="00412216"/>
    <w:rsid w:val="0041374A"/>
    <w:rsid w:val="00413D1D"/>
    <w:rsid w:val="00417BB9"/>
    <w:rsid w:val="00421F87"/>
    <w:rsid w:val="00422824"/>
    <w:rsid w:val="0042305E"/>
    <w:rsid w:val="00425DF3"/>
    <w:rsid w:val="00431132"/>
    <w:rsid w:val="004317FD"/>
    <w:rsid w:val="00432502"/>
    <w:rsid w:val="0043594B"/>
    <w:rsid w:val="00436CD8"/>
    <w:rsid w:val="004376BC"/>
    <w:rsid w:val="0044047E"/>
    <w:rsid w:val="00440B9A"/>
    <w:rsid w:val="00442A25"/>
    <w:rsid w:val="00443D44"/>
    <w:rsid w:val="00447A72"/>
    <w:rsid w:val="00447A83"/>
    <w:rsid w:val="00451626"/>
    <w:rsid w:val="00454F33"/>
    <w:rsid w:val="0045504C"/>
    <w:rsid w:val="00456A30"/>
    <w:rsid w:val="004571D2"/>
    <w:rsid w:val="00460FDB"/>
    <w:rsid w:val="00461400"/>
    <w:rsid w:val="00462481"/>
    <w:rsid w:val="004636E8"/>
    <w:rsid w:val="0046730E"/>
    <w:rsid w:val="00470CB0"/>
    <w:rsid w:val="00471F27"/>
    <w:rsid w:val="004741FA"/>
    <w:rsid w:val="00481945"/>
    <w:rsid w:val="00484F26"/>
    <w:rsid w:val="0048508C"/>
    <w:rsid w:val="004866BD"/>
    <w:rsid w:val="0048671A"/>
    <w:rsid w:val="004922CD"/>
    <w:rsid w:val="004930D2"/>
    <w:rsid w:val="0049326C"/>
    <w:rsid w:val="00496267"/>
    <w:rsid w:val="00497431"/>
    <w:rsid w:val="004A098D"/>
    <w:rsid w:val="004A5043"/>
    <w:rsid w:val="004A5E77"/>
    <w:rsid w:val="004A664C"/>
    <w:rsid w:val="004B1027"/>
    <w:rsid w:val="004B1CA9"/>
    <w:rsid w:val="004B2EE7"/>
    <w:rsid w:val="004C1E9D"/>
    <w:rsid w:val="004C23FE"/>
    <w:rsid w:val="004C41C9"/>
    <w:rsid w:val="004C78EC"/>
    <w:rsid w:val="004D0DDC"/>
    <w:rsid w:val="004D17DA"/>
    <w:rsid w:val="004D3D2E"/>
    <w:rsid w:val="004D64A1"/>
    <w:rsid w:val="004E10E6"/>
    <w:rsid w:val="004E14A1"/>
    <w:rsid w:val="004E7244"/>
    <w:rsid w:val="00506049"/>
    <w:rsid w:val="005163E9"/>
    <w:rsid w:val="00521AF9"/>
    <w:rsid w:val="00521E33"/>
    <w:rsid w:val="00522B38"/>
    <w:rsid w:val="00531C46"/>
    <w:rsid w:val="00531DEC"/>
    <w:rsid w:val="005328C1"/>
    <w:rsid w:val="00535467"/>
    <w:rsid w:val="005370E7"/>
    <w:rsid w:val="005376BA"/>
    <w:rsid w:val="00541EEF"/>
    <w:rsid w:val="0054431D"/>
    <w:rsid w:val="005457F5"/>
    <w:rsid w:val="00547738"/>
    <w:rsid w:val="00550576"/>
    <w:rsid w:val="005561C4"/>
    <w:rsid w:val="005572F5"/>
    <w:rsid w:val="00561072"/>
    <w:rsid w:val="0056217B"/>
    <w:rsid w:val="00562FE0"/>
    <w:rsid w:val="00563D00"/>
    <w:rsid w:val="00571872"/>
    <w:rsid w:val="00572E22"/>
    <w:rsid w:val="00577F24"/>
    <w:rsid w:val="005837EF"/>
    <w:rsid w:val="0058451A"/>
    <w:rsid w:val="00584F3A"/>
    <w:rsid w:val="005871B9"/>
    <w:rsid w:val="005927DE"/>
    <w:rsid w:val="00592CA4"/>
    <w:rsid w:val="00597FB7"/>
    <w:rsid w:val="005A02DA"/>
    <w:rsid w:val="005A42FC"/>
    <w:rsid w:val="005A4E32"/>
    <w:rsid w:val="005A6A02"/>
    <w:rsid w:val="005A7050"/>
    <w:rsid w:val="005B7333"/>
    <w:rsid w:val="005B77B4"/>
    <w:rsid w:val="005C1654"/>
    <w:rsid w:val="005C21B9"/>
    <w:rsid w:val="005C4BD0"/>
    <w:rsid w:val="005C583F"/>
    <w:rsid w:val="005D03FA"/>
    <w:rsid w:val="005D084A"/>
    <w:rsid w:val="005D1294"/>
    <w:rsid w:val="005D664E"/>
    <w:rsid w:val="005E22C7"/>
    <w:rsid w:val="005E2A03"/>
    <w:rsid w:val="005E51B6"/>
    <w:rsid w:val="005E5C65"/>
    <w:rsid w:val="005E5DF2"/>
    <w:rsid w:val="005E6981"/>
    <w:rsid w:val="005E7F86"/>
    <w:rsid w:val="005F26D8"/>
    <w:rsid w:val="005F3373"/>
    <w:rsid w:val="005F4BBA"/>
    <w:rsid w:val="005F6D94"/>
    <w:rsid w:val="00600BAF"/>
    <w:rsid w:val="00603F33"/>
    <w:rsid w:val="00604A27"/>
    <w:rsid w:val="00605034"/>
    <w:rsid w:val="0060597C"/>
    <w:rsid w:val="006059F1"/>
    <w:rsid w:val="00605F0D"/>
    <w:rsid w:val="006142CB"/>
    <w:rsid w:val="00623165"/>
    <w:rsid w:val="00625A6B"/>
    <w:rsid w:val="006272AF"/>
    <w:rsid w:val="00631076"/>
    <w:rsid w:val="00637223"/>
    <w:rsid w:val="00642CE3"/>
    <w:rsid w:val="00650203"/>
    <w:rsid w:val="00651737"/>
    <w:rsid w:val="0066137A"/>
    <w:rsid w:val="0066332E"/>
    <w:rsid w:val="00665EEA"/>
    <w:rsid w:val="00667D3A"/>
    <w:rsid w:val="00674A45"/>
    <w:rsid w:val="00674F5E"/>
    <w:rsid w:val="00677F99"/>
    <w:rsid w:val="00681CC8"/>
    <w:rsid w:val="00682D03"/>
    <w:rsid w:val="00682FF8"/>
    <w:rsid w:val="006830E6"/>
    <w:rsid w:val="00684A95"/>
    <w:rsid w:val="00690286"/>
    <w:rsid w:val="006913A3"/>
    <w:rsid w:val="0069757C"/>
    <w:rsid w:val="00697F5D"/>
    <w:rsid w:val="006A0D99"/>
    <w:rsid w:val="006A1C4D"/>
    <w:rsid w:val="006A48B2"/>
    <w:rsid w:val="006A511C"/>
    <w:rsid w:val="006A7D40"/>
    <w:rsid w:val="006B197C"/>
    <w:rsid w:val="006B1A04"/>
    <w:rsid w:val="006B334D"/>
    <w:rsid w:val="006B3922"/>
    <w:rsid w:val="006B54F0"/>
    <w:rsid w:val="006C1F37"/>
    <w:rsid w:val="006C287B"/>
    <w:rsid w:val="006C2E7B"/>
    <w:rsid w:val="006C6771"/>
    <w:rsid w:val="006C7E5E"/>
    <w:rsid w:val="006D1B01"/>
    <w:rsid w:val="006D3FF2"/>
    <w:rsid w:val="006E03A1"/>
    <w:rsid w:val="006E447B"/>
    <w:rsid w:val="006E4DBD"/>
    <w:rsid w:val="006E596E"/>
    <w:rsid w:val="006E6420"/>
    <w:rsid w:val="006E65F3"/>
    <w:rsid w:val="006E7586"/>
    <w:rsid w:val="006E78DF"/>
    <w:rsid w:val="006F3804"/>
    <w:rsid w:val="006F3E9F"/>
    <w:rsid w:val="006F5429"/>
    <w:rsid w:val="006F64C4"/>
    <w:rsid w:val="006F6E0C"/>
    <w:rsid w:val="007003A3"/>
    <w:rsid w:val="0070053F"/>
    <w:rsid w:val="00701017"/>
    <w:rsid w:val="00704469"/>
    <w:rsid w:val="007052DF"/>
    <w:rsid w:val="00705B5B"/>
    <w:rsid w:val="00705FBA"/>
    <w:rsid w:val="00716C0F"/>
    <w:rsid w:val="00717D4B"/>
    <w:rsid w:val="00720739"/>
    <w:rsid w:val="0072162D"/>
    <w:rsid w:val="00725E56"/>
    <w:rsid w:val="00725FED"/>
    <w:rsid w:val="00730A0C"/>
    <w:rsid w:val="00733466"/>
    <w:rsid w:val="007344C4"/>
    <w:rsid w:val="007348C5"/>
    <w:rsid w:val="00734959"/>
    <w:rsid w:val="00743E08"/>
    <w:rsid w:val="007442ED"/>
    <w:rsid w:val="007476EE"/>
    <w:rsid w:val="00747A76"/>
    <w:rsid w:val="007529F4"/>
    <w:rsid w:val="0075518E"/>
    <w:rsid w:val="00756679"/>
    <w:rsid w:val="00757D82"/>
    <w:rsid w:val="007616AC"/>
    <w:rsid w:val="00762F60"/>
    <w:rsid w:val="00767992"/>
    <w:rsid w:val="00772ADA"/>
    <w:rsid w:val="007738CD"/>
    <w:rsid w:val="00780709"/>
    <w:rsid w:val="0078113A"/>
    <w:rsid w:val="00781BF9"/>
    <w:rsid w:val="007827F7"/>
    <w:rsid w:val="00790D62"/>
    <w:rsid w:val="00791F67"/>
    <w:rsid w:val="00793C4E"/>
    <w:rsid w:val="00793F3F"/>
    <w:rsid w:val="00794893"/>
    <w:rsid w:val="00797AF4"/>
    <w:rsid w:val="00797FC1"/>
    <w:rsid w:val="007A1F93"/>
    <w:rsid w:val="007A5E2D"/>
    <w:rsid w:val="007A69EB"/>
    <w:rsid w:val="007A71F2"/>
    <w:rsid w:val="007A76FD"/>
    <w:rsid w:val="007A7927"/>
    <w:rsid w:val="007C3DA3"/>
    <w:rsid w:val="007C54F6"/>
    <w:rsid w:val="007C766C"/>
    <w:rsid w:val="007D1ADE"/>
    <w:rsid w:val="007D220E"/>
    <w:rsid w:val="007E16CB"/>
    <w:rsid w:val="007E3320"/>
    <w:rsid w:val="007E5384"/>
    <w:rsid w:val="007E5A99"/>
    <w:rsid w:val="007E5D77"/>
    <w:rsid w:val="007E6C0F"/>
    <w:rsid w:val="007E74EB"/>
    <w:rsid w:val="007F2BC6"/>
    <w:rsid w:val="007F2EFC"/>
    <w:rsid w:val="00801E8F"/>
    <w:rsid w:val="00804CE4"/>
    <w:rsid w:val="00804FB7"/>
    <w:rsid w:val="008074E6"/>
    <w:rsid w:val="00813AE4"/>
    <w:rsid w:val="008167B1"/>
    <w:rsid w:val="00820577"/>
    <w:rsid w:val="00821279"/>
    <w:rsid w:val="00824CA0"/>
    <w:rsid w:val="00825761"/>
    <w:rsid w:val="00827459"/>
    <w:rsid w:val="0083009E"/>
    <w:rsid w:val="008310C3"/>
    <w:rsid w:val="00831805"/>
    <w:rsid w:val="00837CD5"/>
    <w:rsid w:val="0084031A"/>
    <w:rsid w:val="00840FE3"/>
    <w:rsid w:val="00845AB4"/>
    <w:rsid w:val="00850667"/>
    <w:rsid w:val="008512C0"/>
    <w:rsid w:val="008574E4"/>
    <w:rsid w:val="0086028B"/>
    <w:rsid w:val="008607E7"/>
    <w:rsid w:val="0086429D"/>
    <w:rsid w:val="00864822"/>
    <w:rsid w:val="008648C1"/>
    <w:rsid w:val="008707BB"/>
    <w:rsid w:val="00870DD5"/>
    <w:rsid w:val="00871FAE"/>
    <w:rsid w:val="00873410"/>
    <w:rsid w:val="008737AC"/>
    <w:rsid w:val="00874779"/>
    <w:rsid w:val="00876502"/>
    <w:rsid w:val="0087731E"/>
    <w:rsid w:val="00877FB6"/>
    <w:rsid w:val="00880301"/>
    <w:rsid w:val="0088212F"/>
    <w:rsid w:val="00886ACE"/>
    <w:rsid w:val="00890617"/>
    <w:rsid w:val="00892D06"/>
    <w:rsid w:val="00892D56"/>
    <w:rsid w:val="0089360A"/>
    <w:rsid w:val="0089384F"/>
    <w:rsid w:val="00894143"/>
    <w:rsid w:val="00894451"/>
    <w:rsid w:val="0089700C"/>
    <w:rsid w:val="008A115D"/>
    <w:rsid w:val="008A2E0E"/>
    <w:rsid w:val="008A5818"/>
    <w:rsid w:val="008A6BAC"/>
    <w:rsid w:val="008A7DAE"/>
    <w:rsid w:val="008B3C97"/>
    <w:rsid w:val="008B5777"/>
    <w:rsid w:val="008B7715"/>
    <w:rsid w:val="008C3704"/>
    <w:rsid w:val="008C3925"/>
    <w:rsid w:val="008C6615"/>
    <w:rsid w:val="008C7494"/>
    <w:rsid w:val="008D1F28"/>
    <w:rsid w:val="008D4B88"/>
    <w:rsid w:val="008D5744"/>
    <w:rsid w:val="008E04C8"/>
    <w:rsid w:val="008E2EA9"/>
    <w:rsid w:val="008E3E49"/>
    <w:rsid w:val="008F0732"/>
    <w:rsid w:val="008F300C"/>
    <w:rsid w:val="008F39D8"/>
    <w:rsid w:val="00902D95"/>
    <w:rsid w:val="00906BDF"/>
    <w:rsid w:val="00911CD6"/>
    <w:rsid w:val="0091224F"/>
    <w:rsid w:val="00913645"/>
    <w:rsid w:val="00913EC6"/>
    <w:rsid w:val="00914C6A"/>
    <w:rsid w:val="00917DBC"/>
    <w:rsid w:val="00917F22"/>
    <w:rsid w:val="0092179F"/>
    <w:rsid w:val="00927D89"/>
    <w:rsid w:val="00934D56"/>
    <w:rsid w:val="00935D9B"/>
    <w:rsid w:val="00935F50"/>
    <w:rsid w:val="0094067F"/>
    <w:rsid w:val="0094342F"/>
    <w:rsid w:val="00946291"/>
    <w:rsid w:val="009469C1"/>
    <w:rsid w:val="00950E78"/>
    <w:rsid w:val="00951E65"/>
    <w:rsid w:val="009547AF"/>
    <w:rsid w:val="00954CE9"/>
    <w:rsid w:val="00954FC2"/>
    <w:rsid w:val="00956FCA"/>
    <w:rsid w:val="0096621C"/>
    <w:rsid w:val="0096732C"/>
    <w:rsid w:val="009676FB"/>
    <w:rsid w:val="0097587D"/>
    <w:rsid w:val="00975A6B"/>
    <w:rsid w:val="00982450"/>
    <w:rsid w:val="00982975"/>
    <w:rsid w:val="00983B8C"/>
    <w:rsid w:val="00983EB9"/>
    <w:rsid w:val="00984F2B"/>
    <w:rsid w:val="00986620"/>
    <w:rsid w:val="00986A98"/>
    <w:rsid w:val="0098758C"/>
    <w:rsid w:val="0099182A"/>
    <w:rsid w:val="009934D4"/>
    <w:rsid w:val="00993D97"/>
    <w:rsid w:val="0099431D"/>
    <w:rsid w:val="009952E5"/>
    <w:rsid w:val="009956B4"/>
    <w:rsid w:val="00995DC5"/>
    <w:rsid w:val="00997B44"/>
    <w:rsid w:val="009A59A0"/>
    <w:rsid w:val="009A7658"/>
    <w:rsid w:val="009A7C60"/>
    <w:rsid w:val="009B0354"/>
    <w:rsid w:val="009B29F3"/>
    <w:rsid w:val="009B2BE2"/>
    <w:rsid w:val="009B36AA"/>
    <w:rsid w:val="009B550E"/>
    <w:rsid w:val="009C12FE"/>
    <w:rsid w:val="009C3E92"/>
    <w:rsid w:val="009C4C8B"/>
    <w:rsid w:val="009C7935"/>
    <w:rsid w:val="009D1AEF"/>
    <w:rsid w:val="009D2051"/>
    <w:rsid w:val="009D60C6"/>
    <w:rsid w:val="009D6BB7"/>
    <w:rsid w:val="009E2ED9"/>
    <w:rsid w:val="009E37F5"/>
    <w:rsid w:val="009E499F"/>
    <w:rsid w:val="009E603E"/>
    <w:rsid w:val="009F0837"/>
    <w:rsid w:val="009F1CBD"/>
    <w:rsid w:val="009F2137"/>
    <w:rsid w:val="009F361C"/>
    <w:rsid w:val="009F51F5"/>
    <w:rsid w:val="009F533E"/>
    <w:rsid w:val="009F6F1C"/>
    <w:rsid w:val="00A02031"/>
    <w:rsid w:val="00A04A7C"/>
    <w:rsid w:val="00A07CD7"/>
    <w:rsid w:val="00A10CE1"/>
    <w:rsid w:val="00A315AD"/>
    <w:rsid w:val="00A33162"/>
    <w:rsid w:val="00A3330D"/>
    <w:rsid w:val="00A37944"/>
    <w:rsid w:val="00A40548"/>
    <w:rsid w:val="00A40A0C"/>
    <w:rsid w:val="00A40D80"/>
    <w:rsid w:val="00A44AA9"/>
    <w:rsid w:val="00A4626F"/>
    <w:rsid w:val="00A46EBF"/>
    <w:rsid w:val="00A4757B"/>
    <w:rsid w:val="00A47C91"/>
    <w:rsid w:val="00A60D8D"/>
    <w:rsid w:val="00A61CE2"/>
    <w:rsid w:val="00A622AC"/>
    <w:rsid w:val="00A711F1"/>
    <w:rsid w:val="00A757B3"/>
    <w:rsid w:val="00A76E42"/>
    <w:rsid w:val="00A77E42"/>
    <w:rsid w:val="00A81002"/>
    <w:rsid w:val="00A81B8D"/>
    <w:rsid w:val="00A83C3B"/>
    <w:rsid w:val="00A85976"/>
    <w:rsid w:val="00A86B8E"/>
    <w:rsid w:val="00A90583"/>
    <w:rsid w:val="00A90EF3"/>
    <w:rsid w:val="00A91206"/>
    <w:rsid w:val="00A9250E"/>
    <w:rsid w:val="00A93676"/>
    <w:rsid w:val="00A95193"/>
    <w:rsid w:val="00A952E1"/>
    <w:rsid w:val="00AA1CEF"/>
    <w:rsid w:val="00AA276B"/>
    <w:rsid w:val="00AA2D7C"/>
    <w:rsid w:val="00AA5818"/>
    <w:rsid w:val="00AA6BAF"/>
    <w:rsid w:val="00AA7524"/>
    <w:rsid w:val="00AA7E3D"/>
    <w:rsid w:val="00AB1203"/>
    <w:rsid w:val="00AB6132"/>
    <w:rsid w:val="00AB7B1D"/>
    <w:rsid w:val="00AC531B"/>
    <w:rsid w:val="00AC7D65"/>
    <w:rsid w:val="00AD4978"/>
    <w:rsid w:val="00AD5EDC"/>
    <w:rsid w:val="00AE24B0"/>
    <w:rsid w:val="00AE573E"/>
    <w:rsid w:val="00AE707F"/>
    <w:rsid w:val="00AE7B65"/>
    <w:rsid w:val="00AF2C90"/>
    <w:rsid w:val="00AF2F43"/>
    <w:rsid w:val="00AF522C"/>
    <w:rsid w:val="00AF65E4"/>
    <w:rsid w:val="00B00083"/>
    <w:rsid w:val="00B02010"/>
    <w:rsid w:val="00B112AC"/>
    <w:rsid w:val="00B1279F"/>
    <w:rsid w:val="00B127C6"/>
    <w:rsid w:val="00B128DF"/>
    <w:rsid w:val="00B13B3B"/>
    <w:rsid w:val="00B24D10"/>
    <w:rsid w:val="00B24FF2"/>
    <w:rsid w:val="00B250E9"/>
    <w:rsid w:val="00B25947"/>
    <w:rsid w:val="00B26FBD"/>
    <w:rsid w:val="00B323D2"/>
    <w:rsid w:val="00B355FB"/>
    <w:rsid w:val="00B36440"/>
    <w:rsid w:val="00B45095"/>
    <w:rsid w:val="00B46738"/>
    <w:rsid w:val="00B46C8C"/>
    <w:rsid w:val="00B47F52"/>
    <w:rsid w:val="00B50E9B"/>
    <w:rsid w:val="00B52D8A"/>
    <w:rsid w:val="00B5492D"/>
    <w:rsid w:val="00B56F75"/>
    <w:rsid w:val="00B57826"/>
    <w:rsid w:val="00B613FB"/>
    <w:rsid w:val="00B6297B"/>
    <w:rsid w:val="00B62F5A"/>
    <w:rsid w:val="00B670F8"/>
    <w:rsid w:val="00B70FED"/>
    <w:rsid w:val="00B7142A"/>
    <w:rsid w:val="00B74DF7"/>
    <w:rsid w:val="00B81E93"/>
    <w:rsid w:val="00B83A3A"/>
    <w:rsid w:val="00B85990"/>
    <w:rsid w:val="00B85CD8"/>
    <w:rsid w:val="00B94146"/>
    <w:rsid w:val="00B9628B"/>
    <w:rsid w:val="00BA1577"/>
    <w:rsid w:val="00BA592B"/>
    <w:rsid w:val="00BA71C6"/>
    <w:rsid w:val="00BA7485"/>
    <w:rsid w:val="00BB43DB"/>
    <w:rsid w:val="00BB7E1B"/>
    <w:rsid w:val="00BC1D51"/>
    <w:rsid w:val="00BC29DF"/>
    <w:rsid w:val="00BC3B25"/>
    <w:rsid w:val="00BC4953"/>
    <w:rsid w:val="00BC697D"/>
    <w:rsid w:val="00BD093B"/>
    <w:rsid w:val="00BD0A9A"/>
    <w:rsid w:val="00BD16C6"/>
    <w:rsid w:val="00BD241E"/>
    <w:rsid w:val="00BD2E9A"/>
    <w:rsid w:val="00BD4C8C"/>
    <w:rsid w:val="00BD63F4"/>
    <w:rsid w:val="00BE26B4"/>
    <w:rsid w:val="00BE7F3C"/>
    <w:rsid w:val="00BE7FB8"/>
    <w:rsid w:val="00BF11B1"/>
    <w:rsid w:val="00BF5D16"/>
    <w:rsid w:val="00C04A97"/>
    <w:rsid w:val="00C05C5A"/>
    <w:rsid w:val="00C07763"/>
    <w:rsid w:val="00C11EF0"/>
    <w:rsid w:val="00C12C06"/>
    <w:rsid w:val="00C148C8"/>
    <w:rsid w:val="00C20346"/>
    <w:rsid w:val="00C20DA7"/>
    <w:rsid w:val="00C22386"/>
    <w:rsid w:val="00C23F7B"/>
    <w:rsid w:val="00C24106"/>
    <w:rsid w:val="00C24690"/>
    <w:rsid w:val="00C259DA"/>
    <w:rsid w:val="00C26F7C"/>
    <w:rsid w:val="00C32933"/>
    <w:rsid w:val="00C32C8E"/>
    <w:rsid w:val="00C33C2A"/>
    <w:rsid w:val="00C433F3"/>
    <w:rsid w:val="00C44277"/>
    <w:rsid w:val="00C445F0"/>
    <w:rsid w:val="00C50637"/>
    <w:rsid w:val="00C52ECD"/>
    <w:rsid w:val="00C53F6A"/>
    <w:rsid w:val="00C54764"/>
    <w:rsid w:val="00C55285"/>
    <w:rsid w:val="00C56254"/>
    <w:rsid w:val="00C56A4A"/>
    <w:rsid w:val="00C61384"/>
    <w:rsid w:val="00C633DE"/>
    <w:rsid w:val="00C63E73"/>
    <w:rsid w:val="00C6431D"/>
    <w:rsid w:val="00C662F4"/>
    <w:rsid w:val="00C70794"/>
    <w:rsid w:val="00C73B37"/>
    <w:rsid w:val="00C73B5D"/>
    <w:rsid w:val="00C74FCF"/>
    <w:rsid w:val="00C76249"/>
    <w:rsid w:val="00C7784D"/>
    <w:rsid w:val="00C80AFC"/>
    <w:rsid w:val="00C81880"/>
    <w:rsid w:val="00C835D5"/>
    <w:rsid w:val="00C859CB"/>
    <w:rsid w:val="00C86614"/>
    <w:rsid w:val="00C92A7B"/>
    <w:rsid w:val="00C93821"/>
    <w:rsid w:val="00C95EBA"/>
    <w:rsid w:val="00C97C80"/>
    <w:rsid w:val="00CA1160"/>
    <w:rsid w:val="00CA1CF1"/>
    <w:rsid w:val="00CA3409"/>
    <w:rsid w:val="00CA4376"/>
    <w:rsid w:val="00CA55E6"/>
    <w:rsid w:val="00CA58DB"/>
    <w:rsid w:val="00CA716B"/>
    <w:rsid w:val="00CA7AA2"/>
    <w:rsid w:val="00CB2044"/>
    <w:rsid w:val="00CB4397"/>
    <w:rsid w:val="00CB48A3"/>
    <w:rsid w:val="00CB6ABA"/>
    <w:rsid w:val="00CB777C"/>
    <w:rsid w:val="00CC1143"/>
    <w:rsid w:val="00CC3168"/>
    <w:rsid w:val="00CC3A1C"/>
    <w:rsid w:val="00CC5BF4"/>
    <w:rsid w:val="00CC5CCA"/>
    <w:rsid w:val="00CD0371"/>
    <w:rsid w:val="00CD17C2"/>
    <w:rsid w:val="00CD1F10"/>
    <w:rsid w:val="00CD3EA9"/>
    <w:rsid w:val="00CD51BE"/>
    <w:rsid w:val="00CE1912"/>
    <w:rsid w:val="00CE27B6"/>
    <w:rsid w:val="00CE2A6C"/>
    <w:rsid w:val="00CE2A8D"/>
    <w:rsid w:val="00CE3055"/>
    <w:rsid w:val="00CE3881"/>
    <w:rsid w:val="00CF4385"/>
    <w:rsid w:val="00CF580B"/>
    <w:rsid w:val="00D013E8"/>
    <w:rsid w:val="00D01EAD"/>
    <w:rsid w:val="00D02242"/>
    <w:rsid w:val="00D036B3"/>
    <w:rsid w:val="00D066CF"/>
    <w:rsid w:val="00D1097E"/>
    <w:rsid w:val="00D13D0C"/>
    <w:rsid w:val="00D14DA0"/>
    <w:rsid w:val="00D15D6A"/>
    <w:rsid w:val="00D16FBB"/>
    <w:rsid w:val="00D22015"/>
    <w:rsid w:val="00D24376"/>
    <w:rsid w:val="00D268C9"/>
    <w:rsid w:val="00D32343"/>
    <w:rsid w:val="00D32DEF"/>
    <w:rsid w:val="00D33BD6"/>
    <w:rsid w:val="00D34E4B"/>
    <w:rsid w:val="00D35871"/>
    <w:rsid w:val="00D359FB"/>
    <w:rsid w:val="00D41F47"/>
    <w:rsid w:val="00D42110"/>
    <w:rsid w:val="00D439E6"/>
    <w:rsid w:val="00D4412D"/>
    <w:rsid w:val="00D50E94"/>
    <w:rsid w:val="00D511DD"/>
    <w:rsid w:val="00D53406"/>
    <w:rsid w:val="00D54BF9"/>
    <w:rsid w:val="00D57EB9"/>
    <w:rsid w:val="00D57FB4"/>
    <w:rsid w:val="00D6453A"/>
    <w:rsid w:val="00D64A43"/>
    <w:rsid w:val="00D7109D"/>
    <w:rsid w:val="00D712BD"/>
    <w:rsid w:val="00D72A62"/>
    <w:rsid w:val="00D74578"/>
    <w:rsid w:val="00D80854"/>
    <w:rsid w:val="00D80E80"/>
    <w:rsid w:val="00D83CF0"/>
    <w:rsid w:val="00D85969"/>
    <w:rsid w:val="00D85A9D"/>
    <w:rsid w:val="00D92D5F"/>
    <w:rsid w:val="00D96203"/>
    <w:rsid w:val="00D96FDB"/>
    <w:rsid w:val="00D97E78"/>
    <w:rsid w:val="00DA12F1"/>
    <w:rsid w:val="00DA29A5"/>
    <w:rsid w:val="00DA45A4"/>
    <w:rsid w:val="00DA61F3"/>
    <w:rsid w:val="00DB1F4B"/>
    <w:rsid w:val="00DB4F3F"/>
    <w:rsid w:val="00DC146C"/>
    <w:rsid w:val="00DC380E"/>
    <w:rsid w:val="00DC3B9B"/>
    <w:rsid w:val="00DC5145"/>
    <w:rsid w:val="00DD0272"/>
    <w:rsid w:val="00DD6C92"/>
    <w:rsid w:val="00DD7E7E"/>
    <w:rsid w:val="00DE0EC9"/>
    <w:rsid w:val="00DE1112"/>
    <w:rsid w:val="00DE1478"/>
    <w:rsid w:val="00DE1738"/>
    <w:rsid w:val="00DE2AE7"/>
    <w:rsid w:val="00DE7F74"/>
    <w:rsid w:val="00DF32BF"/>
    <w:rsid w:val="00DF356E"/>
    <w:rsid w:val="00DF5890"/>
    <w:rsid w:val="00DF5DF4"/>
    <w:rsid w:val="00DF71EC"/>
    <w:rsid w:val="00E0072C"/>
    <w:rsid w:val="00E00780"/>
    <w:rsid w:val="00E02391"/>
    <w:rsid w:val="00E03B3E"/>
    <w:rsid w:val="00E0479D"/>
    <w:rsid w:val="00E05071"/>
    <w:rsid w:val="00E050FE"/>
    <w:rsid w:val="00E068A1"/>
    <w:rsid w:val="00E07546"/>
    <w:rsid w:val="00E123A1"/>
    <w:rsid w:val="00E13849"/>
    <w:rsid w:val="00E16506"/>
    <w:rsid w:val="00E202B5"/>
    <w:rsid w:val="00E23D77"/>
    <w:rsid w:val="00E24E5C"/>
    <w:rsid w:val="00E27264"/>
    <w:rsid w:val="00E278E6"/>
    <w:rsid w:val="00E27DE8"/>
    <w:rsid w:val="00E3017B"/>
    <w:rsid w:val="00E315A2"/>
    <w:rsid w:val="00E336B2"/>
    <w:rsid w:val="00E3445F"/>
    <w:rsid w:val="00E37255"/>
    <w:rsid w:val="00E373B5"/>
    <w:rsid w:val="00E37D06"/>
    <w:rsid w:val="00E37F95"/>
    <w:rsid w:val="00E4064F"/>
    <w:rsid w:val="00E4077B"/>
    <w:rsid w:val="00E41284"/>
    <w:rsid w:val="00E41C54"/>
    <w:rsid w:val="00E42315"/>
    <w:rsid w:val="00E426E7"/>
    <w:rsid w:val="00E42CCE"/>
    <w:rsid w:val="00E450E8"/>
    <w:rsid w:val="00E45F0F"/>
    <w:rsid w:val="00E50C03"/>
    <w:rsid w:val="00E56DA7"/>
    <w:rsid w:val="00E57EE3"/>
    <w:rsid w:val="00E60962"/>
    <w:rsid w:val="00E61367"/>
    <w:rsid w:val="00E65108"/>
    <w:rsid w:val="00E6690C"/>
    <w:rsid w:val="00E716EB"/>
    <w:rsid w:val="00E726CA"/>
    <w:rsid w:val="00E72AE6"/>
    <w:rsid w:val="00E73E09"/>
    <w:rsid w:val="00E7424C"/>
    <w:rsid w:val="00E764CF"/>
    <w:rsid w:val="00E770C9"/>
    <w:rsid w:val="00E77836"/>
    <w:rsid w:val="00E822B7"/>
    <w:rsid w:val="00E83C3B"/>
    <w:rsid w:val="00E85165"/>
    <w:rsid w:val="00E8516F"/>
    <w:rsid w:val="00E86D73"/>
    <w:rsid w:val="00E87154"/>
    <w:rsid w:val="00E87684"/>
    <w:rsid w:val="00E91334"/>
    <w:rsid w:val="00E93116"/>
    <w:rsid w:val="00E93D90"/>
    <w:rsid w:val="00E94A86"/>
    <w:rsid w:val="00E94EC5"/>
    <w:rsid w:val="00E96258"/>
    <w:rsid w:val="00EA2B89"/>
    <w:rsid w:val="00EA2CD9"/>
    <w:rsid w:val="00EA7E8F"/>
    <w:rsid w:val="00EB31D3"/>
    <w:rsid w:val="00EB3217"/>
    <w:rsid w:val="00EB5308"/>
    <w:rsid w:val="00EB6F06"/>
    <w:rsid w:val="00EC0DE1"/>
    <w:rsid w:val="00EC26F9"/>
    <w:rsid w:val="00EC3687"/>
    <w:rsid w:val="00EC3C97"/>
    <w:rsid w:val="00ED12F6"/>
    <w:rsid w:val="00ED1CEB"/>
    <w:rsid w:val="00EE1FDB"/>
    <w:rsid w:val="00EE341C"/>
    <w:rsid w:val="00EF1F1B"/>
    <w:rsid w:val="00EF2D6C"/>
    <w:rsid w:val="00EF7E0A"/>
    <w:rsid w:val="00F04E86"/>
    <w:rsid w:val="00F0515B"/>
    <w:rsid w:val="00F05E5A"/>
    <w:rsid w:val="00F0738E"/>
    <w:rsid w:val="00F10DF2"/>
    <w:rsid w:val="00F11488"/>
    <w:rsid w:val="00F13151"/>
    <w:rsid w:val="00F20E62"/>
    <w:rsid w:val="00F26614"/>
    <w:rsid w:val="00F2773B"/>
    <w:rsid w:val="00F3179C"/>
    <w:rsid w:val="00F320A4"/>
    <w:rsid w:val="00F36928"/>
    <w:rsid w:val="00F41FD4"/>
    <w:rsid w:val="00F4246B"/>
    <w:rsid w:val="00F4305C"/>
    <w:rsid w:val="00F47788"/>
    <w:rsid w:val="00F478B4"/>
    <w:rsid w:val="00F51AED"/>
    <w:rsid w:val="00F53456"/>
    <w:rsid w:val="00F53D58"/>
    <w:rsid w:val="00F60571"/>
    <w:rsid w:val="00F60B59"/>
    <w:rsid w:val="00F62347"/>
    <w:rsid w:val="00F6794B"/>
    <w:rsid w:val="00F67F7D"/>
    <w:rsid w:val="00F779C1"/>
    <w:rsid w:val="00F8003D"/>
    <w:rsid w:val="00F82F5A"/>
    <w:rsid w:val="00F85FDD"/>
    <w:rsid w:val="00F865CF"/>
    <w:rsid w:val="00F86600"/>
    <w:rsid w:val="00F90B99"/>
    <w:rsid w:val="00F91C5A"/>
    <w:rsid w:val="00FA0FC9"/>
    <w:rsid w:val="00FA1E15"/>
    <w:rsid w:val="00FA419A"/>
    <w:rsid w:val="00FB00CB"/>
    <w:rsid w:val="00FB0C80"/>
    <w:rsid w:val="00FB183F"/>
    <w:rsid w:val="00FB3168"/>
    <w:rsid w:val="00FB3733"/>
    <w:rsid w:val="00FB73C8"/>
    <w:rsid w:val="00FC0521"/>
    <w:rsid w:val="00FC09D2"/>
    <w:rsid w:val="00FC1F21"/>
    <w:rsid w:val="00FC2DBC"/>
    <w:rsid w:val="00FC6F2F"/>
    <w:rsid w:val="00FD1E7E"/>
    <w:rsid w:val="00FD27A0"/>
    <w:rsid w:val="00FD39BA"/>
    <w:rsid w:val="00FD6EC4"/>
    <w:rsid w:val="00FD746A"/>
    <w:rsid w:val="00FE6C7D"/>
    <w:rsid w:val="00FF3A91"/>
    <w:rsid w:val="00FF43B3"/>
    <w:rsid w:val="00FF4ACA"/>
    <w:rsid w:val="00FF5707"/>
    <w:rsid w:val="00FF6481"/>
    <w:rsid w:val="011478D4"/>
    <w:rsid w:val="012A46FD"/>
    <w:rsid w:val="013622A8"/>
    <w:rsid w:val="01692F67"/>
    <w:rsid w:val="018A5B03"/>
    <w:rsid w:val="018B34F7"/>
    <w:rsid w:val="01992D41"/>
    <w:rsid w:val="01FE34D3"/>
    <w:rsid w:val="0217661F"/>
    <w:rsid w:val="024F52FF"/>
    <w:rsid w:val="036A58D2"/>
    <w:rsid w:val="0518448A"/>
    <w:rsid w:val="051E632D"/>
    <w:rsid w:val="058666C0"/>
    <w:rsid w:val="05B0458F"/>
    <w:rsid w:val="060E06DB"/>
    <w:rsid w:val="06A83D61"/>
    <w:rsid w:val="06AF458B"/>
    <w:rsid w:val="06E902DA"/>
    <w:rsid w:val="07624743"/>
    <w:rsid w:val="07755D02"/>
    <w:rsid w:val="07943BEF"/>
    <w:rsid w:val="084D7645"/>
    <w:rsid w:val="085F372C"/>
    <w:rsid w:val="08623D0C"/>
    <w:rsid w:val="08B01CE8"/>
    <w:rsid w:val="092451D7"/>
    <w:rsid w:val="099A657C"/>
    <w:rsid w:val="09DA4665"/>
    <w:rsid w:val="0AA06A07"/>
    <w:rsid w:val="0B0433C0"/>
    <w:rsid w:val="0CA12239"/>
    <w:rsid w:val="0CBC11E1"/>
    <w:rsid w:val="0CF66F6C"/>
    <w:rsid w:val="0DF16184"/>
    <w:rsid w:val="0E7B7894"/>
    <w:rsid w:val="0F90353F"/>
    <w:rsid w:val="0FA142CE"/>
    <w:rsid w:val="106452F1"/>
    <w:rsid w:val="10C310E1"/>
    <w:rsid w:val="1157297A"/>
    <w:rsid w:val="11E30CE3"/>
    <w:rsid w:val="12184C8E"/>
    <w:rsid w:val="12AE3D4D"/>
    <w:rsid w:val="12EB5B8D"/>
    <w:rsid w:val="12EE7F95"/>
    <w:rsid w:val="13C57169"/>
    <w:rsid w:val="1413117A"/>
    <w:rsid w:val="141A713C"/>
    <w:rsid w:val="14601225"/>
    <w:rsid w:val="14C3473D"/>
    <w:rsid w:val="15303669"/>
    <w:rsid w:val="159367C4"/>
    <w:rsid w:val="15C2363F"/>
    <w:rsid w:val="17244242"/>
    <w:rsid w:val="18A15999"/>
    <w:rsid w:val="18D54336"/>
    <w:rsid w:val="18ED3DB0"/>
    <w:rsid w:val="19137C8D"/>
    <w:rsid w:val="193606BA"/>
    <w:rsid w:val="19AE18FC"/>
    <w:rsid w:val="1A7208A1"/>
    <w:rsid w:val="1A724C0C"/>
    <w:rsid w:val="1AAB5207"/>
    <w:rsid w:val="1BCD250D"/>
    <w:rsid w:val="1C557FF3"/>
    <w:rsid w:val="1C7F05FA"/>
    <w:rsid w:val="1CC0595D"/>
    <w:rsid w:val="1CDA3E5B"/>
    <w:rsid w:val="1D153613"/>
    <w:rsid w:val="1D187775"/>
    <w:rsid w:val="1D2F3A39"/>
    <w:rsid w:val="1D4F59E5"/>
    <w:rsid w:val="1DBD1123"/>
    <w:rsid w:val="1DEE1435"/>
    <w:rsid w:val="1E851B37"/>
    <w:rsid w:val="1EC9015A"/>
    <w:rsid w:val="1F06533E"/>
    <w:rsid w:val="1F585130"/>
    <w:rsid w:val="1F993BC9"/>
    <w:rsid w:val="20290D68"/>
    <w:rsid w:val="202E5EB1"/>
    <w:rsid w:val="206922EF"/>
    <w:rsid w:val="206A4BC6"/>
    <w:rsid w:val="20CA7727"/>
    <w:rsid w:val="20F14D3E"/>
    <w:rsid w:val="213A1230"/>
    <w:rsid w:val="21932BBE"/>
    <w:rsid w:val="21C77C64"/>
    <w:rsid w:val="22151873"/>
    <w:rsid w:val="223F553B"/>
    <w:rsid w:val="2297115B"/>
    <w:rsid w:val="22FD7D0C"/>
    <w:rsid w:val="230A2DF7"/>
    <w:rsid w:val="238D6DEC"/>
    <w:rsid w:val="23D7071E"/>
    <w:rsid w:val="24556C5D"/>
    <w:rsid w:val="246C56A0"/>
    <w:rsid w:val="24824456"/>
    <w:rsid w:val="24AD4B5D"/>
    <w:rsid w:val="25854FC9"/>
    <w:rsid w:val="2602784A"/>
    <w:rsid w:val="26A411B0"/>
    <w:rsid w:val="26FE2B4A"/>
    <w:rsid w:val="27634ECB"/>
    <w:rsid w:val="2779319C"/>
    <w:rsid w:val="279D551D"/>
    <w:rsid w:val="27EE1EE9"/>
    <w:rsid w:val="280F4C25"/>
    <w:rsid w:val="28751591"/>
    <w:rsid w:val="29210EAF"/>
    <w:rsid w:val="293256B6"/>
    <w:rsid w:val="29C36129"/>
    <w:rsid w:val="29C95E35"/>
    <w:rsid w:val="29F65246"/>
    <w:rsid w:val="29FD5946"/>
    <w:rsid w:val="2AC45437"/>
    <w:rsid w:val="2B4C77BC"/>
    <w:rsid w:val="2B4D6743"/>
    <w:rsid w:val="2BB42B42"/>
    <w:rsid w:val="2BCA74F9"/>
    <w:rsid w:val="2C161FDD"/>
    <w:rsid w:val="2C5E1B45"/>
    <w:rsid w:val="2C774EF2"/>
    <w:rsid w:val="2D411055"/>
    <w:rsid w:val="2D670B64"/>
    <w:rsid w:val="2E132F8E"/>
    <w:rsid w:val="2E177C79"/>
    <w:rsid w:val="2E434052"/>
    <w:rsid w:val="2E9827E1"/>
    <w:rsid w:val="2EB75096"/>
    <w:rsid w:val="30211447"/>
    <w:rsid w:val="302E0F30"/>
    <w:rsid w:val="30CC3E82"/>
    <w:rsid w:val="30F970C7"/>
    <w:rsid w:val="31F7053E"/>
    <w:rsid w:val="32021287"/>
    <w:rsid w:val="327860CB"/>
    <w:rsid w:val="331E2FF2"/>
    <w:rsid w:val="33A3545F"/>
    <w:rsid w:val="33E90D15"/>
    <w:rsid w:val="34197BAF"/>
    <w:rsid w:val="345B06CD"/>
    <w:rsid w:val="34DC5017"/>
    <w:rsid w:val="351A305B"/>
    <w:rsid w:val="35324D8D"/>
    <w:rsid w:val="35634FE9"/>
    <w:rsid w:val="35976277"/>
    <w:rsid w:val="35EB438E"/>
    <w:rsid w:val="37313E0D"/>
    <w:rsid w:val="37604390"/>
    <w:rsid w:val="379E5EC8"/>
    <w:rsid w:val="37AD7E3F"/>
    <w:rsid w:val="38094591"/>
    <w:rsid w:val="383B079B"/>
    <w:rsid w:val="386750E5"/>
    <w:rsid w:val="38CC70A9"/>
    <w:rsid w:val="391C566B"/>
    <w:rsid w:val="396B3854"/>
    <w:rsid w:val="396D520F"/>
    <w:rsid w:val="39795327"/>
    <w:rsid w:val="398D2193"/>
    <w:rsid w:val="3A1C3789"/>
    <w:rsid w:val="3A2613B7"/>
    <w:rsid w:val="3A7B3EB3"/>
    <w:rsid w:val="3A9214AB"/>
    <w:rsid w:val="3AAC472A"/>
    <w:rsid w:val="3AD25BB6"/>
    <w:rsid w:val="3AFF1CFD"/>
    <w:rsid w:val="3B2C08C1"/>
    <w:rsid w:val="3B4D713F"/>
    <w:rsid w:val="3BCD2505"/>
    <w:rsid w:val="3BEE25F5"/>
    <w:rsid w:val="3BFE7222"/>
    <w:rsid w:val="3C221B8F"/>
    <w:rsid w:val="3C270CC0"/>
    <w:rsid w:val="3CDE7203"/>
    <w:rsid w:val="3D602198"/>
    <w:rsid w:val="3D8F6F43"/>
    <w:rsid w:val="3DD21C3A"/>
    <w:rsid w:val="3DD45F85"/>
    <w:rsid w:val="3E136235"/>
    <w:rsid w:val="3E400F85"/>
    <w:rsid w:val="3E657520"/>
    <w:rsid w:val="3E7141FD"/>
    <w:rsid w:val="3E7D6185"/>
    <w:rsid w:val="3E90310F"/>
    <w:rsid w:val="3EB72CD1"/>
    <w:rsid w:val="3F49256E"/>
    <w:rsid w:val="402223DA"/>
    <w:rsid w:val="407C48F3"/>
    <w:rsid w:val="40CA190B"/>
    <w:rsid w:val="41992371"/>
    <w:rsid w:val="428C0CD5"/>
    <w:rsid w:val="42B57B64"/>
    <w:rsid w:val="433804A8"/>
    <w:rsid w:val="43D97626"/>
    <w:rsid w:val="43FA741D"/>
    <w:rsid w:val="4405078B"/>
    <w:rsid w:val="44175400"/>
    <w:rsid w:val="44FD12C3"/>
    <w:rsid w:val="45523CA4"/>
    <w:rsid w:val="458F47AD"/>
    <w:rsid w:val="479C550A"/>
    <w:rsid w:val="47B6033B"/>
    <w:rsid w:val="47B95C3F"/>
    <w:rsid w:val="48130597"/>
    <w:rsid w:val="48D05F29"/>
    <w:rsid w:val="48E109EF"/>
    <w:rsid w:val="48F1028E"/>
    <w:rsid w:val="490C4FA6"/>
    <w:rsid w:val="4B1764EA"/>
    <w:rsid w:val="4B512688"/>
    <w:rsid w:val="4B651A13"/>
    <w:rsid w:val="4B77583F"/>
    <w:rsid w:val="4B8443D5"/>
    <w:rsid w:val="4C132073"/>
    <w:rsid w:val="4C160A45"/>
    <w:rsid w:val="4C7466A3"/>
    <w:rsid w:val="4C8F192F"/>
    <w:rsid w:val="4D5B2EAD"/>
    <w:rsid w:val="4D7304D1"/>
    <w:rsid w:val="4DA64D93"/>
    <w:rsid w:val="4EA96E11"/>
    <w:rsid w:val="4ECA4E34"/>
    <w:rsid w:val="4F752425"/>
    <w:rsid w:val="4FB861AC"/>
    <w:rsid w:val="4FFD65F1"/>
    <w:rsid w:val="503A47E8"/>
    <w:rsid w:val="507D6899"/>
    <w:rsid w:val="510B06B5"/>
    <w:rsid w:val="512E5242"/>
    <w:rsid w:val="524A5C7A"/>
    <w:rsid w:val="53893568"/>
    <w:rsid w:val="53AB65E0"/>
    <w:rsid w:val="53FE139B"/>
    <w:rsid w:val="54105C85"/>
    <w:rsid w:val="54254E4C"/>
    <w:rsid w:val="544E43B8"/>
    <w:rsid w:val="550F5022"/>
    <w:rsid w:val="56516B86"/>
    <w:rsid w:val="569B5B8D"/>
    <w:rsid w:val="56B07CD2"/>
    <w:rsid w:val="57DF047C"/>
    <w:rsid w:val="58395D97"/>
    <w:rsid w:val="583A1FA9"/>
    <w:rsid w:val="58672932"/>
    <w:rsid w:val="588200A6"/>
    <w:rsid w:val="58AC0B6F"/>
    <w:rsid w:val="591D2854"/>
    <w:rsid w:val="59E15173"/>
    <w:rsid w:val="59F12C62"/>
    <w:rsid w:val="59FB2D24"/>
    <w:rsid w:val="5A7C7D75"/>
    <w:rsid w:val="5AB850E8"/>
    <w:rsid w:val="5B0379DF"/>
    <w:rsid w:val="5B26024D"/>
    <w:rsid w:val="5BF10832"/>
    <w:rsid w:val="5BFF0F90"/>
    <w:rsid w:val="5C736FD3"/>
    <w:rsid w:val="5C80345D"/>
    <w:rsid w:val="5CCA133E"/>
    <w:rsid w:val="5CEE5B01"/>
    <w:rsid w:val="5DEC0D27"/>
    <w:rsid w:val="5EDF67C8"/>
    <w:rsid w:val="5F6A4B2A"/>
    <w:rsid w:val="5F8219B2"/>
    <w:rsid w:val="60051E90"/>
    <w:rsid w:val="60F30771"/>
    <w:rsid w:val="617277DE"/>
    <w:rsid w:val="61E94A63"/>
    <w:rsid w:val="622B5053"/>
    <w:rsid w:val="62DF4983"/>
    <w:rsid w:val="638C4D75"/>
    <w:rsid w:val="643E00C4"/>
    <w:rsid w:val="65387151"/>
    <w:rsid w:val="654C38C3"/>
    <w:rsid w:val="65540128"/>
    <w:rsid w:val="65810480"/>
    <w:rsid w:val="65C94067"/>
    <w:rsid w:val="669A7C5A"/>
    <w:rsid w:val="66CD0CDD"/>
    <w:rsid w:val="66D71ACE"/>
    <w:rsid w:val="67C5309E"/>
    <w:rsid w:val="687E01BB"/>
    <w:rsid w:val="68954C81"/>
    <w:rsid w:val="69A35A3D"/>
    <w:rsid w:val="69AA0C31"/>
    <w:rsid w:val="69DB17B2"/>
    <w:rsid w:val="6A315ECC"/>
    <w:rsid w:val="6A5874C3"/>
    <w:rsid w:val="6A75070E"/>
    <w:rsid w:val="6B0D4739"/>
    <w:rsid w:val="6B40003F"/>
    <w:rsid w:val="6B404453"/>
    <w:rsid w:val="6B582A30"/>
    <w:rsid w:val="6B5966FB"/>
    <w:rsid w:val="6B942696"/>
    <w:rsid w:val="6D4A4120"/>
    <w:rsid w:val="6D4F3DB1"/>
    <w:rsid w:val="6DA62C04"/>
    <w:rsid w:val="6DB4338A"/>
    <w:rsid w:val="6E4F3F7C"/>
    <w:rsid w:val="6E671D17"/>
    <w:rsid w:val="6E7900E5"/>
    <w:rsid w:val="6FAB5060"/>
    <w:rsid w:val="70153B40"/>
    <w:rsid w:val="703B73AD"/>
    <w:rsid w:val="70772D3B"/>
    <w:rsid w:val="70E64663"/>
    <w:rsid w:val="71CC1BB4"/>
    <w:rsid w:val="71E65F66"/>
    <w:rsid w:val="73316F26"/>
    <w:rsid w:val="737A20CA"/>
    <w:rsid w:val="75175238"/>
    <w:rsid w:val="754453D0"/>
    <w:rsid w:val="75CC5399"/>
    <w:rsid w:val="76677A04"/>
    <w:rsid w:val="767D46C0"/>
    <w:rsid w:val="76B63CEE"/>
    <w:rsid w:val="77430216"/>
    <w:rsid w:val="78623266"/>
    <w:rsid w:val="78C9327A"/>
    <w:rsid w:val="78CC7C48"/>
    <w:rsid w:val="7953431D"/>
    <w:rsid w:val="79735124"/>
    <w:rsid w:val="797C1DE4"/>
    <w:rsid w:val="799A7D53"/>
    <w:rsid w:val="7AA4609E"/>
    <w:rsid w:val="7AB95CAA"/>
    <w:rsid w:val="7C014F6D"/>
    <w:rsid w:val="7C8568B1"/>
    <w:rsid w:val="7CB63FA3"/>
    <w:rsid w:val="7DC2793C"/>
    <w:rsid w:val="7DC64B7C"/>
    <w:rsid w:val="7DD67ECE"/>
    <w:rsid w:val="7E277B16"/>
    <w:rsid w:val="7E65757D"/>
    <w:rsid w:val="7F805083"/>
    <w:rsid w:val="7FA13A4E"/>
    <w:rsid w:val="7FF80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50" w:beforeLines="50" w:after="50" w:afterLines="50" w:line="600" w:lineRule="exact"/>
      <w:ind w:firstLine="880" w:firstLineChars="200"/>
      <w:jc w:val="center"/>
      <w:outlineLvl w:val="0"/>
    </w:pPr>
    <w:rPr>
      <w:rFonts w:eastAsia="方正小标宋简体"/>
      <w:kern w:val="44"/>
      <w:sz w:val="32"/>
    </w:rPr>
  </w:style>
  <w:style w:type="paragraph" w:styleId="3">
    <w:name w:val="heading 2"/>
    <w:basedOn w:val="1"/>
    <w:next w:val="1"/>
    <w:link w:val="19"/>
    <w:qFormat/>
    <w:uiPriority w:val="0"/>
    <w:pPr>
      <w:keepNext/>
      <w:keepLines/>
      <w:spacing w:line="600" w:lineRule="exact"/>
      <w:ind w:firstLine="880" w:firstLineChars="200"/>
      <w:jc w:val="left"/>
      <w:outlineLvl w:val="1"/>
    </w:pPr>
    <w:rPr>
      <w:rFonts w:ascii="Calibri Light" w:hAnsi="Calibri Light" w:eastAsia="黑体"/>
      <w:bCs/>
      <w:sz w:val="32"/>
      <w:szCs w:val="32"/>
    </w:rPr>
  </w:style>
  <w:style w:type="paragraph" w:styleId="4">
    <w:name w:val="heading 3"/>
    <w:basedOn w:val="1"/>
    <w:next w:val="1"/>
    <w:link w:val="20"/>
    <w:qFormat/>
    <w:uiPriority w:val="0"/>
    <w:pPr>
      <w:keepNext/>
      <w:keepLines/>
      <w:spacing w:line="600" w:lineRule="exact"/>
      <w:ind w:firstLine="880" w:firstLineChars="200"/>
      <w:jc w:val="left"/>
      <w:outlineLvl w:val="2"/>
    </w:pPr>
    <w:rPr>
      <w:rFonts w:eastAsia="楷体"/>
      <w:sz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3"/>
    <w:qFormat/>
    <w:uiPriority w:val="0"/>
    <w:pPr>
      <w:spacing w:after="120" w:line="600" w:lineRule="exact"/>
      <w:ind w:firstLine="880" w:firstLineChars="200"/>
      <w:jc w:val="left"/>
    </w:pPr>
    <w:rPr>
      <w:rFonts w:ascii="仿宋" w:hAnsi="仿宋" w:eastAsia="仿宋" w:cs="宋体"/>
      <w:sz w:val="32"/>
      <w:szCs w:val="22"/>
    </w:rPr>
  </w:style>
  <w:style w:type="paragraph" w:styleId="6">
    <w:name w:val="toc 3"/>
    <w:basedOn w:val="1"/>
    <w:next w:val="1"/>
    <w:qFormat/>
    <w:uiPriority w:val="39"/>
    <w:pPr>
      <w:ind w:left="840" w:leftChars="400"/>
    </w:pPr>
  </w:style>
  <w:style w:type="paragraph" w:styleId="7">
    <w:name w:val="Balloon Text"/>
    <w:basedOn w:val="1"/>
    <w:link w:val="21"/>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5">
    <w:name w:val="Hyperlink"/>
    <w:basedOn w:val="14"/>
    <w:unhideWhenUsed/>
    <w:qFormat/>
    <w:uiPriority w:val="99"/>
    <w:rPr>
      <w:color w:val="0000FF" w:themeColor="hyperlink"/>
      <w:u w:val="single"/>
    </w:rPr>
  </w:style>
  <w:style w:type="character" w:customStyle="1" w:styleId="16">
    <w:name w:val="页眉 字符"/>
    <w:basedOn w:val="14"/>
    <w:link w:val="9"/>
    <w:qFormat/>
    <w:uiPriority w:val="99"/>
    <w:rPr>
      <w:sz w:val="18"/>
      <w:szCs w:val="18"/>
    </w:rPr>
  </w:style>
  <w:style w:type="character" w:customStyle="1" w:styleId="17">
    <w:name w:val="页脚 字符"/>
    <w:basedOn w:val="14"/>
    <w:link w:val="8"/>
    <w:qFormat/>
    <w:uiPriority w:val="99"/>
    <w:rPr>
      <w:sz w:val="18"/>
      <w:szCs w:val="18"/>
    </w:rPr>
  </w:style>
  <w:style w:type="character" w:customStyle="1" w:styleId="18">
    <w:name w:val="标题 1 字符"/>
    <w:basedOn w:val="14"/>
    <w:link w:val="2"/>
    <w:qFormat/>
    <w:uiPriority w:val="0"/>
    <w:rPr>
      <w:rFonts w:ascii="Calibri" w:hAnsi="Calibri" w:eastAsia="方正小标宋简体" w:cs="Times New Roman"/>
      <w:kern w:val="44"/>
      <w:sz w:val="32"/>
      <w:szCs w:val="24"/>
    </w:rPr>
  </w:style>
  <w:style w:type="character" w:customStyle="1" w:styleId="19">
    <w:name w:val="标题 2 字符"/>
    <w:basedOn w:val="14"/>
    <w:link w:val="3"/>
    <w:qFormat/>
    <w:uiPriority w:val="0"/>
    <w:rPr>
      <w:rFonts w:ascii="Calibri Light" w:hAnsi="Calibri Light" w:eastAsia="黑体" w:cs="Times New Roman"/>
      <w:bCs/>
      <w:sz w:val="32"/>
      <w:szCs w:val="32"/>
    </w:rPr>
  </w:style>
  <w:style w:type="character" w:customStyle="1" w:styleId="20">
    <w:name w:val="标题 3 字符"/>
    <w:basedOn w:val="14"/>
    <w:link w:val="4"/>
    <w:qFormat/>
    <w:uiPriority w:val="0"/>
    <w:rPr>
      <w:rFonts w:ascii="Calibri" w:hAnsi="Calibri" w:eastAsia="楷体" w:cs="Times New Roman"/>
      <w:sz w:val="32"/>
      <w:szCs w:val="24"/>
    </w:rPr>
  </w:style>
  <w:style w:type="character" w:customStyle="1" w:styleId="21">
    <w:name w:val="批注框文本 字符"/>
    <w:basedOn w:val="14"/>
    <w:link w:val="7"/>
    <w:semiHidden/>
    <w:qFormat/>
    <w:uiPriority w:val="99"/>
    <w:rPr>
      <w:rFonts w:ascii="Calibri" w:hAnsi="Calibri" w:eastAsia="宋体" w:cs="Times New Roman"/>
      <w:sz w:val="18"/>
      <w:szCs w:val="18"/>
    </w:rPr>
  </w:style>
  <w:style w:type="paragraph" w:customStyle="1" w:styleId="22">
    <w:name w:val="列出段落1"/>
    <w:basedOn w:val="1"/>
    <w:qFormat/>
    <w:uiPriority w:val="99"/>
    <w:pPr>
      <w:ind w:firstLine="420" w:firstLineChars="200"/>
    </w:pPr>
    <w:rPr>
      <w:rFonts w:cs="黑体"/>
    </w:rPr>
  </w:style>
  <w:style w:type="character" w:customStyle="1" w:styleId="23">
    <w:name w:val="正文文本 字符"/>
    <w:basedOn w:val="14"/>
    <w:link w:val="5"/>
    <w:qFormat/>
    <w:uiPriority w:val="0"/>
    <w:rPr>
      <w:rFonts w:ascii="仿宋" w:hAnsi="仿宋" w:eastAsia="仿宋" w:cs="宋体"/>
      <w:sz w:val="32"/>
    </w:rPr>
  </w:style>
  <w:style w:type="character" w:customStyle="1" w:styleId="24">
    <w:name w:val="Unresolved Mention"/>
    <w:basedOn w:val="1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CA1072-9FB4-4C25-AB54-DA80393F3463}">
  <ds:schemaRefs/>
</ds:datastoreItem>
</file>

<file path=docProps/app.xml><?xml version="1.0" encoding="utf-8"?>
<Properties xmlns="http://schemas.openxmlformats.org/officeDocument/2006/extended-properties" xmlns:vt="http://schemas.openxmlformats.org/officeDocument/2006/docPropsVTypes">
  <Template>Normal</Template>
  <Company>Windows 10</Company>
  <Pages>21</Pages>
  <Words>1768</Words>
  <Characters>10080</Characters>
  <Lines>84</Lines>
  <Paragraphs>23</Paragraphs>
  <TotalTime>0</TotalTime>
  <ScaleCrop>false</ScaleCrop>
  <LinksUpToDate>false</LinksUpToDate>
  <CharactersWithSpaces>11825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2020-07-06T04:56:00Z</dcterms:created>
  <dc:creator>徐欣</dc:creator>
  <cp:lastModifiedBy>檬柚友</cp:lastModifiedBy>
  <cp:lastPrinted>2020-08-31T06:14:00Z</cp:lastPrinted>
  <dcterms:modified xsi:type="dcterms:W3CDTF">2021-07-01T07:48:00Z</dcterms:modified>
  <cp:revision>993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E954534515934DF58991EC5CD98AE24F</vt:lpwstr>
  </property>
</Properties>
</file>